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9FBE7" w14:textId="6CE1B9F0" w:rsidR="0038571A" w:rsidRDefault="0038571A">
      <w:pPr>
        <w:pStyle w:val="Normal1"/>
        <w:spacing w:after="240"/>
        <w:jc w:val="both"/>
        <w:rPr>
          <w:rFonts w:ascii="Arial" w:eastAsia="Arial" w:hAnsi="Arial" w:cs="Arial"/>
          <w:b/>
          <w:color w:val="000000"/>
          <w:sz w:val="28"/>
          <w:szCs w:val="28"/>
        </w:rPr>
      </w:pPr>
      <w:r>
        <w:rPr>
          <w:rFonts w:ascii="Arial" w:hAnsi="Arial"/>
          <w:noProof/>
          <w:lang w:val="en-GB" w:eastAsia="en-GB"/>
        </w:rPr>
        <w:drawing>
          <wp:anchor distT="0" distB="0" distL="114300" distR="114300" simplePos="0" relativeHeight="251659264" behindDoc="0" locked="0" layoutInCell="1" allowOverlap="1" wp14:anchorId="2AA7110B" wp14:editId="6645995A">
            <wp:simplePos x="0" y="0"/>
            <wp:positionH relativeFrom="column">
              <wp:posOffset>0</wp:posOffset>
            </wp:positionH>
            <wp:positionV relativeFrom="paragraph">
              <wp:posOffset>361315</wp:posOffset>
            </wp:positionV>
            <wp:extent cx="2257425" cy="552450"/>
            <wp:effectExtent l="0" t="0" r="9525" b="0"/>
            <wp:wrapThrough wrapText="bothSides">
              <wp:wrapPolygon edited="0">
                <wp:start x="0" y="0"/>
                <wp:lineTo x="0" y="20855"/>
                <wp:lineTo x="21509" y="20855"/>
                <wp:lineTo x="21509" y="0"/>
                <wp:lineTo x="0" y="0"/>
              </wp:wrapPolygon>
            </wp:wrapThrough>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abinet Office Logo 1.JPG"/>
                    <pic:cNvPicPr/>
                  </pic:nvPicPr>
                  <pic:blipFill>
                    <a:blip r:embed="rId8">
                      <a:extLst>
                        <a:ext uri="{28A0092B-C50C-407E-A947-70E740481C1C}">
                          <a14:useLocalDpi xmlns:a14="http://schemas.microsoft.com/office/drawing/2010/main" val="0"/>
                        </a:ext>
                      </a:extLst>
                    </a:blip>
                    <a:stretch>
                      <a:fillRect/>
                    </a:stretch>
                  </pic:blipFill>
                  <pic:spPr>
                    <a:xfrm>
                      <a:off x="0" y="0"/>
                      <a:ext cx="2257425" cy="552450"/>
                    </a:xfrm>
                    <a:prstGeom prst="rect">
                      <a:avLst/>
                    </a:prstGeom>
                  </pic:spPr>
                </pic:pic>
              </a:graphicData>
            </a:graphic>
          </wp:anchor>
        </w:drawing>
      </w:r>
    </w:p>
    <w:p w14:paraId="1719010B" w14:textId="77777777" w:rsidR="0038571A" w:rsidRDefault="0038571A">
      <w:pPr>
        <w:pStyle w:val="Normal1"/>
        <w:spacing w:after="240"/>
        <w:jc w:val="both"/>
        <w:rPr>
          <w:rFonts w:ascii="Arial" w:eastAsia="Arial" w:hAnsi="Arial" w:cs="Arial"/>
          <w:b/>
          <w:color w:val="000000"/>
          <w:sz w:val="28"/>
          <w:szCs w:val="28"/>
        </w:rPr>
      </w:pPr>
    </w:p>
    <w:p w14:paraId="3549B353" w14:textId="77777777" w:rsidR="0038571A" w:rsidRDefault="0038571A">
      <w:pPr>
        <w:pStyle w:val="Normal1"/>
        <w:spacing w:after="240"/>
        <w:jc w:val="both"/>
        <w:rPr>
          <w:rFonts w:ascii="Arial" w:eastAsia="Arial" w:hAnsi="Arial" w:cs="Arial"/>
          <w:b/>
          <w:color w:val="000000"/>
          <w:sz w:val="28"/>
          <w:szCs w:val="28"/>
        </w:rPr>
      </w:pPr>
    </w:p>
    <w:p w14:paraId="6771570F" w14:textId="77777777" w:rsidR="0038571A" w:rsidRDefault="0038571A">
      <w:pPr>
        <w:pStyle w:val="Normal1"/>
        <w:spacing w:after="240"/>
        <w:jc w:val="both"/>
        <w:rPr>
          <w:rFonts w:ascii="Arial" w:eastAsia="Arial" w:hAnsi="Arial" w:cs="Arial"/>
          <w:b/>
          <w:color w:val="000000"/>
          <w:sz w:val="28"/>
          <w:szCs w:val="28"/>
        </w:rPr>
      </w:pPr>
    </w:p>
    <w:p w14:paraId="0225C779" w14:textId="77777777" w:rsidR="0038571A" w:rsidRDefault="0038571A">
      <w:pPr>
        <w:pStyle w:val="Normal1"/>
        <w:spacing w:after="240"/>
        <w:jc w:val="both"/>
        <w:rPr>
          <w:rFonts w:ascii="Arial" w:eastAsia="Arial" w:hAnsi="Arial" w:cs="Arial"/>
          <w:b/>
          <w:color w:val="000000"/>
          <w:sz w:val="28"/>
          <w:szCs w:val="28"/>
        </w:rPr>
      </w:pPr>
    </w:p>
    <w:p w14:paraId="7E622B72" w14:textId="77777777" w:rsidR="0038571A" w:rsidRDefault="0038571A">
      <w:pPr>
        <w:pStyle w:val="Normal1"/>
        <w:spacing w:after="240"/>
        <w:jc w:val="both"/>
        <w:rPr>
          <w:rFonts w:ascii="Arial" w:eastAsia="Arial" w:hAnsi="Arial" w:cs="Arial"/>
          <w:b/>
          <w:color w:val="000000"/>
          <w:sz w:val="28"/>
          <w:szCs w:val="28"/>
        </w:rPr>
      </w:pPr>
    </w:p>
    <w:p w14:paraId="1729A0FE" w14:textId="77777777" w:rsidR="0038571A" w:rsidRDefault="0038571A">
      <w:pPr>
        <w:pStyle w:val="Normal1"/>
        <w:spacing w:after="240"/>
        <w:jc w:val="both"/>
        <w:rPr>
          <w:rFonts w:ascii="Arial" w:eastAsia="Arial" w:hAnsi="Arial" w:cs="Arial"/>
          <w:b/>
          <w:color w:val="000000"/>
          <w:sz w:val="28"/>
          <w:szCs w:val="28"/>
        </w:rPr>
      </w:pPr>
    </w:p>
    <w:p w14:paraId="3311DBF5" w14:textId="77777777" w:rsidR="0038571A" w:rsidRDefault="0038571A">
      <w:pPr>
        <w:pStyle w:val="Normal1"/>
        <w:spacing w:after="240"/>
        <w:jc w:val="both"/>
        <w:rPr>
          <w:rFonts w:ascii="Arial" w:eastAsia="Arial" w:hAnsi="Arial" w:cs="Arial"/>
          <w:b/>
          <w:color w:val="000000"/>
          <w:sz w:val="28"/>
          <w:szCs w:val="28"/>
        </w:rPr>
      </w:pPr>
    </w:p>
    <w:p w14:paraId="08B988B1" w14:textId="77777777" w:rsidR="006C3CE9" w:rsidRDefault="008850BA">
      <w:pPr>
        <w:pStyle w:val="Normal1"/>
        <w:spacing w:after="240"/>
        <w:jc w:val="both"/>
        <w:rPr>
          <w:rFonts w:ascii="Arial" w:eastAsia="Arial" w:hAnsi="Arial" w:cs="Arial"/>
          <w:b/>
          <w:color w:val="000000"/>
          <w:sz w:val="28"/>
          <w:szCs w:val="28"/>
        </w:rPr>
      </w:pPr>
      <w:r>
        <w:rPr>
          <w:rFonts w:ascii="Arial" w:eastAsia="Arial" w:hAnsi="Arial" w:cs="Arial"/>
          <w:b/>
          <w:color w:val="000000"/>
          <w:sz w:val="28"/>
          <w:szCs w:val="28"/>
        </w:rPr>
        <w:t xml:space="preserve">DESCRIPTIVE DOCUMENT FOR FUTURE ADMINISTRATION OF THE CIVIL SERVICE PENSIONS SCHEME COMPETITIVE DIALOGUE </w:t>
      </w:r>
    </w:p>
    <w:p w14:paraId="50BDA2AD" w14:textId="77777777" w:rsidR="006C3CE9" w:rsidRDefault="008850BA">
      <w:pPr>
        <w:pStyle w:val="Normal1"/>
        <w:spacing w:after="240"/>
        <w:jc w:val="both"/>
        <w:rPr>
          <w:rFonts w:ascii="Arial" w:eastAsia="Arial" w:hAnsi="Arial" w:cs="Arial"/>
          <w:b/>
          <w:color w:val="000000"/>
          <w:sz w:val="28"/>
          <w:szCs w:val="28"/>
        </w:rPr>
      </w:pPr>
      <w:r>
        <w:rPr>
          <w:rFonts w:ascii="Arial" w:eastAsia="Arial" w:hAnsi="Arial" w:cs="Arial"/>
          <w:b/>
          <w:color w:val="000000"/>
          <w:sz w:val="28"/>
          <w:szCs w:val="28"/>
        </w:rPr>
        <w:t>TO SUPPORT</w:t>
      </w:r>
    </w:p>
    <w:p w14:paraId="16169F6A" w14:textId="2B3A0013" w:rsidR="006C3CE9" w:rsidRDefault="008850BA">
      <w:pPr>
        <w:pStyle w:val="Normal1"/>
        <w:spacing w:after="240"/>
        <w:jc w:val="both"/>
        <w:rPr>
          <w:rFonts w:ascii="Arial" w:eastAsia="Arial" w:hAnsi="Arial" w:cs="Arial"/>
          <w:b/>
          <w:color w:val="000000"/>
          <w:sz w:val="28"/>
          <w:szCs w:val="28"/>
        </w:rPr>
      </w:pPr>
      <w:r>
        <w:rPr>
          <w:rFonts w:ascii="Arial" w:eastAsia="Arial" w:hAnsi="Arial" w:cs="Arial"/>
          <w:b/>
          <w:color w:val="000000"/>
          <w:sz w:val="28"/>
          <w:szCs w:val="28"/>
        </w:rPr>
        <w:t xml:space="preserve">OJEU NOTICE, ISSUED </w:t>
      </w:r>
      <w:r w:rsidR="0038571A">
        <w:rPr>
          <w:rFonts w:ascii="Arial" w:eastAsia="Arial" w:hAnsi="Arial" w:cs="Arial"/>
          <w:b/>
          <w:color w:val="000000"/>
          <w:sz w:val="28"/>
          <w:szCs w:val="28"/>
        </w:rPr>
        <w:t>20</w:t>
      </w:r>
      <w:r w:rsidR="0038571A" w:rsidRPr="0038571A">
        <w:rPr>
          <w:rFonts w:ascii="Arial" w:eastAsia="Arial" w:hAnsi="Arial" w:cs="Arial"/>
          <w:b/>
          <w:color w:val="000000"/>
          <w:sz w:val="28"/>
          <w:szCs w:val="28"/>
          <w:vertAlign w:val="superscript"/>
        </w:rPr>
        <w:t>th</w:t>
      </w:r>
      <w:r w:rsidR="0038571A">
        <w:rPr>
          <w:rFonts w:ascii="Arial" w:eastAsia="Arial" w:hAnsi="Arial" w:cs="Arial"/>
          <w:b/>
          <w:color w:val="000000"/>
          <w:sz w:val="28"/>
          <w:szCs w:val="28"/>
        </w:rPr>
        <w:t xml:space="preserve"> </w:t>
      </w:r>
      <w:r>
        <w:rPr>
          <w:rFonts w:ascii="Arial" w:eastAsia="Arial" w:hAnsi="Arial" w:cs="Arial"/>
          <w:b/>
          <w:color w:val="000000"/>
          <w:sz w:val="28"/>
          <w:szCs w:val="28"/>
        </w:rPr>
        <w:t>December 2018</w:t>
      </w:r>
    </w:p>
    <w:p w14:paraId="7CEE73CE" w14:textId="77777777" w:rsidR="006C3CE9" w:rsidRDefault="006C3CE9">
      <w:pPr>
        <w:pStyle w:val="Normal1"/>
        <w:spacing w:after="240"/>
        <w:jc w:val="both"/>
        <w:rPr>
          <w:rFonts w:ascii="Arial" w:eastAsia="Arial" w:hAnsi="Arial" w:cs="Arial"/>
          <w:b/>
          <w:color w:val="000000"/>
          <w:sz w:val="28"/>
          <w:szCs w:val="28"/>
        </w:rPr>
      </w:pPr>
    </w:p>
    <w:p w14:paraId="62DD9EEB" w14:textId="77777777" w:rsidR="006C3CE9" w:rsidRDefault="006C3CE9">
      <w:pPr>
        <w:pStyle w:val="Normal1"/>
        <w:spacing w:before="336" w:after="6710" w:line="308" w:lineRule="auto"/>
        <w:jc w:val="both"/>
        <w:rPr>
          <w:rFonts w:ascii="Arial" w:eastAsia="Arial" w:hAnsi="Arial" w:cs="Arial"/>
          <w:b/>
          <w:color w:val="000000"/>
          <w:sz w:val="28"/>
          <w:szCs w:val="28"/>
        </w:rPr>
      </w:pPr>
    </w:p>
    <w:p w14:paraId="6B268B97" w14:textId="77777777" w:rsidR="006C3CE9" w:rsidRDefault="006C3CE9">
      <w:pPr>
        <w:pStyle w:val="Normal1"/>
        <w:spacing w:before="336" w:after="6710" w:line="308" w:lineRule="auto"/>
        <w:jc w:val="both"/>
        <w:rPr>
          <w:rFonts w:ascii="Arial" w:eastAsia="Arial" w:hAnsi="Arial" w:cs="Arial"/>
          <w:b/>
          <w:color w:val="000000"/>
          <w:sz w:val="28"/>
          <w:szCs w:val="28"/>
        </w:rPr>
        <w:sectPr w:rsidR="006C3CE9" w:rsidSect="0038571A">
          <w:footerReference w:type="default" r:id="rId9"/>
          <w:pgSz w:w="11909" w:h="16834"/>
          <w:pgMar w:top="1384" w:right="1361" w:bottom="176" w:left="1412" w:header="720" w:footer="720" w:gutter="0"/>
          <w:pgNumType w:start="1"/>
          <w:cols w:space="720"/>
          <w:titlePg/>
        </w:sectPr>
      </w:pPr>
    </w:p>
    <w:p w14:paraId="40C6011D" w14:textId="77777777" w:rsidR="006C3CE9" w:rsidRDefault="008850BA">
      <w:pPr>
        <w:pStyle w:val="Normal1"/>
        <w:keepNext/>
        <w:keepLines/>
        <w:pBdr>
          <w:top w:val="nil"/>
          <w:left w:val="nil"/>
          <w:bottom w:val="nil"/>
          <w:right w:val="nil"/>
          <w:between w:val="nil"/>
        </w:pBdr>
        <w:spacing w:before="240" w:line="259" w:lineRule="auto"/>
        <w:jc w:val="both"/>
        <w:rPr>
          <w:rFonts w:ascii="Arial" w:eastAsia="Arial" w:hAnsi="Arial" w:cs="Arial"/>
          <w:b/>
          <w:color w:val="000000"/>
          <w:sz w:val="32"/>
          <w:szCs w:val="32"/>
        </w:rPr>
      </w:pPr>
      <w:r>
        <w:rPr>
          <w:rFonts w:ascii="Arial" w:eastAsia="Arial" w:hAnsi="Arial" w:cs="Arial"/>
          <w:b/>
          <w:color w:val="000000"/>
          <w:sz w:val="32"/>
          <w:szCs w:val="32"/>
        </w:rPr>
        <w:lastRenderedPageBreak/>
        <w:t>Contents</w:t>
      </w:r>
    </w:p>
    <w:p w14:paraId="072586B0" w14:textId="77777777" w:rsidR="006C3CE9" w:rsidRDefault="006C3CE9">
      <w:pPr>
        <w:pStyle w:val="Normal1"/>
        <w:keepNext/>
        <w:keepLines/>
        <w:pBdr>
          <w:top w:val="nil"/>
          <w:left w:val="nil"/>
          <w:bottom w:val="nil"/>
          <w:right w:val="nil"/>
          <w:between w:val="nil"/>
        </w:pBdr>
        <w:spacing w:before="240" w:line="259" w:lineRule="auto"/>
        <w:jc w:val="both"/>
        <w:rPr>
          <w:rFonts w:ascii="Arial" w:eastAsia="Arial" w:hAnsi="Arial" w:cs="Arial"/>
          <w:b/>
          <w:color w:val="000000"/>
          <w:sz w:val="32"/>
          <w:szCs w:val="32"/>
        </w:rPr>
      </w:pPr>
    </w:p>
    <w:sdt>
      <w:sdtPr>
        <w:id w:val="986280269"/>
        <w:docPartObj>
          <w:docPartGallery w:val="Table of Contents"/>
          <w:docPartUnique/>
        </w:docPartObj>
      </w:sdtPr>
      <w:sdtEndPr/>
      <w:sdtContent>
        <w:p w14:paraId="778CDB18" w14:textId="77777777" w:rsidR="0038571A" w:rsidRPr="0038571A" w:rsidRDefault="008850BA">
          <w:pPr>
            <w:pStyle w:val="TOC3"/>
            <w:tabs>
              <w:tab w:val="right" w:pos="9019"/>
            </w:tabs>
            <w:rPr>
              <w:rFonts w:ascii="Arial" w:eastAsiaTheme="minorEastAsia" w:hAnsi="Arial" w:cs="Arial"/>
              <w:b/>
              <w:noProof/>
              <w:lang w:val="en-GB" w:eastAsia="en-GB"/>
            </w:rPr>
          </w:pPr>
          <w:r>
            <w:fldChar w:fldCharType="begin"/>
          </w:r>
          <w:r>
            <w:instrText xml:space="preserve"> TOC \h \u \z </w:instrText>
          </w:r>
          <w:r>
            <w:fldChar w:fldCharType="separate"/>
          </w:r>
          <w:hyperlink w:anchor="_Toc533068839" w:history="1">
            <w:r w:rsidR="0038571A" w:rsidRPr="0038571A">
              <w:rPr>
                <w:rStyle w:val="Hyperlink"/>
                <w:rFonts w:ascii="Arial" w:eastAsia="Arial" w:hAnsi="Arial" w:cs="Arial"/>
                <w:b/>
                <w:noProof/>
              </w:rPr>
              <w:t>1. PURPOSE OF DOCUMENT</w:t>
            </w:r>
            <w:r w:rsidR="0038571A" w:rsidRPr="0038571A">
              <w:rPr>
                <w:rFonts w:ascii="Arial" w:hAnsi="Arial" w:cs="Arial"/>
                <w:b/>
                <w:noProof/>
                <w:webHidden/>
              </w:rPr>
              <w:tab/>
            </w:r>
            <w:r w:rsidR="0038571A" w:rsidRPr="0038571A">
              <w:rPr>
                <w:rFonts w:ascii="Arial" w:hAnsi="Arial" w:cs="Arial"/>
                <w:b/>
                <w:noProof/>
                <w:webHidden/>
              </w:rPr>
              <w:fldChar w:fldCharType="begin"/>
            </w:r>
            <w:r w:rsidR="0038571A" w:rsidRPr="0038571A">
              <w:rPr>
                <w:rFonts w:ascii="Arial" w:hAnsi="Arial" w:cs="Arial"/>
                <w:b/>
                <w:noProof/>
                <w:webHidden/>
              </w:rPr>
              <w:instrText xml:space="preserve"> PAGEREF _Toc533068839 \h </w:instrText>
            </w:r>
            <w:r w:rsidR="0038571A" w:rsidRPr="0038571A">
              <w:rPr>
                <w:rFonts w:ascii="Arial" w:hAnsi="Arial" w:cs="Arial"/>
                <w:b/>
                <w:noProof/>
                <w:webHidden/>
              </w:rPr>
            </w:r>
            <w:r w:rsidR="0038571A" w:rsidRPr="0038571A">
              <w:rPr>
                <w:rFonts w:ascii="Arial" w:hAnsi="Arial" w:cs="Arial"/>
                <w:b/>
                <w:noProof/>
                <w:webHidden/>
              </w:rPr>
              <w:fldChar w:fldCharType="separate"/>
            </w:r>
            <w:r w:rsidR="0038571A" w:rsidRPr="0038571A">
              <w:rPr>
                <w:rFonts w:ascii="Arial" w:hAnsi="Arial" w:cs="Arial"/>
                <w:b/>
                <w:noProof/>
                <w:webHidden/>
              </w:rPr>
              <w:t>3</w:t>
            </w:r>
            <w:r w:rsidR="0038571A" w:rsidRPr="0038571A">
              <w:rPr>
                <w:rFonts w:ascii="Arial" w:hAnsi="Arial" w:cs="Arial"/>
                <w:b/>
                <w:noProof/>
                <w:webHidden/>
              </w:rPr>
              <w:fldChar w:fldCharType="end"/>
            </w:r>
          </w:hyperlink>
        </w:p>
        <w:p w14:paraId="71BE0E98" w14:textId="77777777" w:rsidR="0038571A" w:rsidRPr="0038571A" w:rsidRDefault="00E43C84">
          <w:pPr>
            <w:pStyle w:val="TOC3"/>
            <w:tabs>
              <w:tab w:val="right" w:pos="9019"/>
            </w:tabs>
            <w:rPr>
              <w:rFonts w:ascii="Arial" w:eastAsiaTheme="minorEastAsia" w:hAnsi="Arial" w:cs="Arial"/>
              <w:b/>
              <w:noProof/>
              <w:lang w:val="en-GB" w:eastAsia="en-GB"/>
            </w:rPr>
          </w:pPr>
          <w:hyperlink w:anchor="_Toc533068840" w:history="1">
            <w:r w:rsidR="0038571A" w:rsidRPr="0038571A">
              <w:rPr>
                <w:rStyle w:val="Hyperlink"/>
                <w:rFonts w:ascii="Arial" w:eastAsia="Arial" w:hAnsi="Arial" w:cs="Arial"/>
                <w:b/>
                <w:noProof/>
              </w:rPr>
              <w:t>2. BACKGROUND TO THE AUTHORITY</w:t>
            </w:r>
            <w:r w:rsidR="0038571A" w:rsidRPr="0038571A">
              <w:rPr>
                <w:rFonts w:ascii="Arial" w:hAnsi="Arial" w:cs="Arial"/>
                <w:b/>
                <w:noProof/>
                <w:webHidden/>
              </w:rPr>
              <w:tab/>
            </w:r>
            <w:r w:rsidR="0038571A" w:rsidRPr="0038571A">
              <w:rPr>
                <w:rFonts w:ascii="Arial" w:hAnsi="Arial" w:cs="Arial"/>
                <w:b/>
                <w:noProof/>
                <w:webHidden/>
              </w:rPr>
              <w:fldChar w:fldCharType="begin"/>
            </w:r>
            <w:r w:rsidR="0038571A" w:rsidRPr="0038571A">
              <w:rPr>
                <w:rFonts w:ascii="Arial" w:hAnsi="Arial" w:cs="Arial"/>
                <w:b/>
                <w:noProof/>
                <w:webHidden/>
              </w:rPr>
              <w:instrText xml:space="preserve"> PAGEREF _Toc533068840 \h </w:instrText>
            </w:r>
            <w:r w:rsidR="0038571A" w:rsidRPr="0038571A">
              <w:rPr>
                <w:rFonts w:ascii="Arial" w:hAnsi="Arial" w:cs="Arial"/>
                <w:b/>
                <w:noProof/>
                <w:webHidden/>
              </w:rPr>
            </w:r>
            <w:r w:rsidR="0038571A" w:rsidRPr="0038571A">
              <w:rPr>
                <w:rFonts w:ascii="Arial" w:hAnsi="Arial" w:cs="Arial"/>
                <w:b/>
                <w:noProof/>
                <w:webHidden/>
              </w:rPr>
              <w:fldChar w:fldCharType="separate"/>
            </w:r>
            <w:r w:rsidR="0038571A" w:rsidRPr="0038571A">
              <w:rPr>
                <w:rFonts w:ascii="Arial" w:hAnsi="Arial" w:cs="Arial"/>
                <w:b/>
                <w:noProof/>
                <w:webHidden/>
              </w:rPr>
              <w:t>3</w:t>
            </w:r>
            <w:r w:rsidR="0038571A" w:rsidRPr="0038571A">
              <w:rPr>
                <w:rFonts w:ascii="Arial" w:hAnsi="Arial" w:cs="Arial"/>
                <w:b/>
                <w:noProof/>
                <w:webHidden/>
              </w:rPr>
              <w:fldChar w:fldCharType="end"/>
            </w:r>
          </w:hyperlink>
        </w:p>
        <w:p w14:paraId="2342C632" w14:textId="77777777" w:rsidR="0038571A" w:rsidRPr="0038571A" w:rsidRDefault="00E43C84">
          <w:pPr>
            <w:pStyle w:val="TOC3"/>
            <w:tabs>
              <w:tab w:val="right" w:pos="9019"/>
            </w:tabs>
            <w:rPr>
              <w:rFonts w:ascii="Arial" w:eastAsiaTheme="minorEastAsia" w:hAnsi="Arial" w:cs="Arial"/>
              <w:b/>
              <w:noProof/>
              <w:lang w:val="en-GB" w:eastAsia="en-GB"/>
            </w:rPr>
          </w:pPr>
          <w:hyperlink w:anchor="_Toc533068841" w:history="1">
            <w:r w:rsidR="0038571A" w:rsidRPr="0038571A">
              <w:rPr>
                <w:rStyle w:val="Hyperlink"/>
                <w:rFonts w:ascii="Arial" w:eastAsia="Arial" w:hAnsi="Arial" w:cs="Arial"/>
                <w:b/>
                <w:noProof/>
              </w:rPr>
              <w:t>3. BACKGROUND TO THE CIVIL SERVICE PENSION SCHEME (CSPS)</w:t>
            </w:r>
            <w:r w:rsidR="0038571A" w:rsidRPr="0038571A">
              <w:rPr>
                <w:rFonts w:ascii="Arial" w:hAnsi="Arial" w:cs="Arial"/>
                <w:b/>
                <w:noProof/>
                <w:webHidden/>
              </w:rPr>
              <w:tab/>
            </w:r>
            <w:r w:rsidR="0038571A" w:rsidRPr="0038571A">
              <w:rPr>
                <w:rFonts w:ascii="Arial" w:hAnsi="Arial" w:cs="Arial"/>
                <w:b/>
                <w:noProof/>
                <w:webHidden/>
              </w:rPr>
              <w:fldChar w:fldCharType="begin"/>
            </w:r>
            <w:r w:rsidR="0038571A" w:rsidRPr="0038571A">
              <w:rPr>
                <w:rFonts w:ascii="Arial" w:hAnsi="Arial" w:cs="Arial"/>
                <w:b/>
                <w:noProof/>
                <w:webHidden/>
              </w:rPr>
              <w:instrText xml:space="preserve"> PAGEREF _Toc533068841 \h </w:instrText>
            </w:r>
            <w:r w:rsidR="0038571A" w:rsidRPr="0038571A">
              <w:rPr>
                <w:rFonts w:ascii="Arial" w:hAnsi="Arial" w:cs="Arial"/>
                <w:b/>
                <w:noProof/>
                <w:webHidden/>
              </w:rPr>
            </w:r>
            <w:r w:rsidR="0038571A" w:rsidRPr="0038571A">
              <w:rPr>
                <w:rFonts w:ascii="Arial" w:hAnsi="Arial" w:cs="Arial"/>
                <w:b/>
                <w:noProof/>
                <w:webHidden/>
              </w:rPr>
              <w:fldChar w:fldCharType="separate"/>
            </w:r>
            <w:r w:rsidR="0038571A" w:rsidRPr="0038571A">
              <w:rPr>
                <w:rFonts w:ascii="Arial" w:hAnsi="Arial" w:cs="Arial"/>
                <w:b/>
                <w:noProof/>
                <w:webHidden/>
              </w:rPr>
              <w:t>4</w:t>
            </w:r>
            <w:r w:rsidR="0038571A" w:rsidRPr="0038571A">
              <w:rPr>
                <w:rFonts w:ascii="Arial" w:hAnsi="Arial" w:cs="Arial"/>
                <w:b/>
                <w:noProof/>
                <w:webHidden/>
              </w:rPr>
              <w:fldChar w:fldCharType="end"/>
            </w:r>
          </w:hyperlink>
        </w:p>
        <w:p w14:paraId="51090BAF" w14:textId="77777777" w:rsidR="0038571A" w:rsidRPr="0038571A" w:rsidRDefault="00E43C84">
          <w:pPr>
            <w:pStyle w:val="TOC3"/>
            <w:tabs>
              <w:tab w:val="right" w:pos="9019"/>
            </w:tabs>
            <w:rPr>
              <w:rFonts w:ascii="Arial" w:eastAsiaTheme="minorEastAsia" w:hAnsi="Arial" w:cs="Arial"/>
              <w:b/>
              <w:noProof/>
              <w:lang w:val="en-GB" w:eastAsia="en-GB"/>
            </w:rPr>
          </w:pPr>
          <w:hyperlink w:anchor="_Toc533068845" w:history="1">
            <w:r w:rsidR="0038571A" w:rsidRPr="0038571A">
              <w:rPr>
                <w:rStyle w:val="Hyperlink"/>
                <w:rFonts w:ascii="Arial" w:eastAsia="Arial" w:hAnsi="Arial" w:cs="Arial"/>
                <w:b/>
                <w:noProof/>
              </w:rPr>
              <w:t>4. PROPOSED PROCUREMENT PROCESS</w:t>
            </w:r>
            <w:r w:rsidR="0038571A" w:rsidRPr="0038571A">
              <w:rPr>
                <w:rFonts w:ascii="Arial" w:hAnsi="Arial" w:cs="Arial"/>
                <w:b/>
                <w:noProof/>
                <w:webHidden/>
              </w:rPr>
              <w:tab/>
            </w:r>
            <w:r w:rsidR="0038571A" w:rsidRPr="0038571A">
              <w:rPr>
                <w:rFonts w:ascii="Arial" w:hAnsi="Arial" w:cs="Arial"/>
                <w:b/>
                <w:noProof/>
                <w:webHidden/>
              </w:rPr>
              <w:fldChar w:fldCharType="begin"/>
            </w:r>
            <w:r w:rsidR="0038571A" w:rsidRPr="0038571A">
              <w:rPr>
                <w:rFonts w:ascii="Arial" w:hAnsi="Arial" w:cs="Arial"/>
                <w:b/>
                <w:noProof/>
                <w:webHidden/>
              </w:rPr>
              <w:instrText xml:space="preserve"> PAGEREF _Toc533068845 \h </w:instrText>
            </w:r>
            <w:r w:rsidR="0038571A" w:rsidRPr="0038571A">
              <w:rPr>
                <w:rFonts w:ascii="Arial" w:hAnsi="Arial" w:cs="Arial"/>
                <w:b/>
                <w:noProof/>
                <w:webHidden/>
              </w:rPr>
            </w:r>
            <w:r w:rsidR="0038571A" w:rsidRPr="0038571A">
              <w:rPr>
                <w:rFonts w:ascii="Arial" w:hAnsi="Arial" w:cs="Arial"/>
                <w:b/>
                <w:noProof/>
                <w:webHidden/>
              </w:rPr>
              <w:fldChar w:fldCharType="separate"/>
            </w:r>
            <w:r w:rsidR="0038571A" w:rsidRPr="0038571A">
              <w:rPr>
                <w:rFonts w:ascii="Arial" w:hAnsi="Arial" w:cs="Arial"/>
                <w:b/>
                <w:noProof/>
                <w:webHidden/>
              </w:rPr>
              <w:t>9</w:t>
            </w:r>
            <w:r w:rsidR="0038571A" w:rsidRPr="0038571A">
              <w:rPr>
                <w:rFonts w:ascii="Arial" w:hAnsi="Arial" w:cs="Arial"/>
                <w:b/>
                <w:noProof/>
                <w:webHidden/>
              </w:rPr>
              <w:fldChar w:fldCharType="end"/>
            </w:r>
          </w:hyperlink>
        </w:p>
        <w:p w14:paraId="4CD800C8" w14:textId="77777777" w:rsidR="0038571A" w:rsidRPr="0038571A" w:rsidRDefault="00E43C84">
          <w:pPr>
            <w:pStyle w:val="TOC3"/>
            <w:tabs>
              <w:tab w:val="right" w:pos="9019"/>
            </w:tabs>
            <w:rPr>
              <w:rFonts w:ascii="Arial" w:eastAsiaTheme="minorEastAsia" w:hAnsi="Arial" w:cs="Arial"/>
              <w:b/>
              <w:noProof/>
              <w:lang w:val="en-GB" w:eastAsia="en-GB"/>
            </w:rPr>
          </w:pPr>
          <w:hyperlink w:anchor="_Toc533068856" w:history="1">
            <w:r w:rsidR="0038571A" w:rsidRPr="0038571A">
              <w:rPr>
                <w:rStyle w:val="Hyperlink"/>
                <w:rFonts w:ascii="Arial" w:eastAsia="Arial" w:hAnsi="Arial" w:cs="Arial"/>
                <w:b/>
                <w:noProof/>
              </w:rPr>
              <w:t>5. INTRUCTIONS FOR SUBMITTING A SQ</w:t>
            </w:r>
            <w:r w:rsidR="0038571A" w:rsidRPr="0038571A">
              <w:rPr>
                <w:rFonts w:ascii="Arial" w:hAnsi="Arial" w:cs="Arial"/>
                <w:b/>
                <w:noProof/>
                <w:webHidden/>
              </w:rPr>
              <w:tab/>
            </w:r>
            <w:r w:rsidR="0038571A" w:rsidRPr="0038571A">
              <w:rPr>
                <w:rFonts w:ascii="Arial" w:hAnsi="Arial" w:cs="Arial"/>
                <w:b/>
                <w:noProof/>
                <w:webHidden/>
              </w:rPr>
              <w:fldChar w:fldCharType="begin"/>
            </w:r>
            <w:r w:rsidR="0038571A" w:rsidRPr="0038571A">
              <w:rPr>
                <w:rFonts w:ascii="Arial" w:hAnsi="Arial" w:cs="Arial"/>
                <w:b/>
                <w:noProof/>
                <w:webHidden/>
              </w:rPr>
              <w:instrText xml:space="preserve"> PAGEREF _Toc533068856 \h </w:instrText>
            </w:r>
            <w:r w:rsidR="0038571A" w:rsidRPr="0038571A">
              <w:rPr>
                <w:rFonts w:ascii="Arial" w:hAnsi="Arial" w:cs="Arial"/>
                <w:b/>
                <w:noProof/>
                <w:webHidden/>
              </w:rPr>
            </w:r>
            <w:r w:rsidR="0038571A" w:rsidRPr="0038571A">
              <w:rPr>
                <w:rFonts w:ascii="Arial" w:hAnsi="Arial" w:cs="Arial"/>
                <w:b/>
                <w:noProof/>
                <w:webHidden/>
              </w:rPr>
              <w:fldChar w:fldCharType="separate"/>
            </w:r>
            <w:r w:rsidR="0038571A" w:rsidRPr="0038571A">
              <w:rPr>
                <w:rFonts w:ascii="Arial" w:hAnsi="Arial" w:cs="Arial"/>
                <w:b/>
                <w:noProof/>
                <w:webHidden/>
              </w:rPr>
              <w:t>13</w:t>
            </w:r>
            <w:r w:rsidR="0038571A" w:rsidRPr="0038571A">
              <w:rPr>
                <w:rFonts w:ascii="Arial" w:hAnsi="Arial" w:cs="Arial"/>
                <w:b/>
                <w:noProof/>
                <w:webHidden/>
              </w:rPr>
              <w:fldChar w:fldCharType="end"/>
            </w:r>
          </w:hyperlink>
        </w:p>
        <w:p w14:paraId="25796BA4" w14:textId="77777777" w:rsidR="0038571A" w:rsidRPr="0038571A" w:rsidRDefault="00E43C84">
          <w:pPr>
            <w:pStyle w:val="TOC3"/>
            <w:tabs>
              <w:tab w:val="right" w:pos="9019"/>
            </w:tabs>
            <w:rPr>
              <w:rFonts w:ascii="Arial" w:eastAsiaTheme="minorEastAsia" w:hAnsi="Arial" w:cs="Arial"/>
              <w:b/>
              <w:noProof/>
              <w:lang w:val="en-GB" w:eastAsia="en-GB"/>
            </w:rPr>
          </w:pPr>
          <w:hyperlink w:anchor="_Toc533068860" w:history="1">
            <w:r w:rsidR="0038571A" w:rsidRPr="0038571A">
              <w:rPr>
                <w:rStyle w:val="Hyperlink"/>
                <w:rFonts w:ascii="Arial" w:eastAsia="Arial" w:hAnsi="Arial" w:cs="Arial"/>
                <w:b/>
                <w:noProof/>
              </w:rPr>
              <w:t>6 QUESTIONS AND CLARIFICATIONS</w:t>
            </w:r>
            <w:r w:rsidR="0038571A" w:rsidRPr="0038571A">
              <w:rPr>
                <w:rFonts w:ascii="Arial" w:hAnsi="Arial" w:cs="Arial"/>
                <w:b/>
                <w:noProof/>
                <w:webHidden/>
              </w:rPr>
              <w:tab/>
            </w:r>
            <w:r w:rsidR="0038571A" w:rsidRPr="0038571A">
              <w:rPr>
                <w:rFonts w:ascii="Arial" w:hAnsi="Arial" w:cs="Arial"/>
                <w:b/>
                <w:noProof/>
                <w:webHidden/>
              </w:rPr>
              <w:fldChar w:fldCharType="begin"/>
            </w:r>
            <w:r w:rsidR="0038571A" w:rsidRPr="0038571A">
              <w:rPr>
                <w:rFonts w:ascii="Arial" w:hAnsi="Arial" w:cs="Arial"/>
                <w:b/>
                <w:noProof/>
                <w:webHidden/>
              </w:rPr>
              <w:instrText xml:space="preserve"> PAGEREF _Toc533068860 \h </w:instrText>
            </w:r>
            <w:r w:rsidR="0038571A" w:rsidRPr="0038571A">
              <w:rPr>
                <w:rFonts w:ascii="Arial" w:hAnsi="Arial" w:cs="Arial"/>
                <w:b/>
                <w:noProof/>
                <w:webHidden/>
              </w:rPr>
            </w:r>
            <w:r w:rsidR="0038571A" w:rsidRPr="0038571A">
              <w:rPr>
                <w:rFonts w:ascii="Arial" w:hAnsi="Arial" w:cs="Arial"/>
                <w:b/>
                <w:noProof/>
                <w:webHidden/>
              </w:rPr>
              <w:fldChar w:fldCharType="separate"/>
            </w:r>
            <w:r w:rsidR="0038571A" w:rsidRPr="0038571A">
              <w:rPr>
                <w:rFonts w:ascii="Arial" w:hAnsi="Arial" w:cs="Arial"/>
                <w:b/>
                <w:noProof/>
                <w:webHidden/>
              </w:rPr>
              <w:t>17</w:t>
            </w:r>
            <w:r w:rsidR="0038571A" w:rsidRPr="0038571A">
              <w:rPr>
                <w:rFonts w:ascii="Arial" w:hAnsi="Arial" w:cs="Arial"/>
                <w:b/>
                <w:noProof/>
                <w:webHidden/>
              </w:rPr>
              <w:fldChar w:fldCharType="end"/>
            </w:r>
          </w:hyperlink>
        </w:p>
        <w:p w14:paraId="3E23356A" w14:textId="77777777" w:rsidR="0038571A" w:rsidRDefault="00E43C84">
          <w:pPr>
            <w:pStyle w:val="TOC3"/>
            <w:tabs>
              <w:tab w:val="right" w:pos="9019"/>
            </w:tabs>
            <w:rPr>
              <w:rFonts w:asciiTheme="minorHAnsi" w:eastAsiaTheme="minorEastAsia" w:hAnsiTheme="minorHAnsi" w:cstheme="minorBidi"/>
              <w:noProof/>
              <w:lang w:val="en-GB" w:eastAsia="en-GB"/>
            </w:rPr>
          </w:pPr>
          <w:hyperlink w:anchor="_Toc533068861" w:history="1">
            <w:r w:rsidR="0038571A" w:rsidRPr="0038571A">
              <w:rPr>
                <w:rStyle w:val="Hyperlink"/>
                <w:rFonts w:ascii="Arial" w:eastAsia="Arial" w:hAnsi="Arial" w:cs="Arial"/>
                <w:b/>
                <w:noProof/>
              </w:rPr>
              <w:t>7. GENERAL INFORMATION</w:t>
            </w:r>
            <w:r w:rsidR="0038571A" w:rsidRPr="0038571A">
              <w:rPr>
                <w:rFonts w:ascii="Arial" w:hAnsi="Arial" w:cs="Arial"/>
                <w:b/>
                <w:noProof/>
                <w:webHidden/>
              </w:rPr>
              <w:tab/>
            </w:r>
            <w:r w:rsidR="0038571A" w:rsidRPr="0038571A">
              <w:rPr>
                <w:rFonts w:ascii="Arial" w:hAnsi="Arial" w:cs="Arial"/>
                <w:b/>
                <w:noProof/>
                <w:webHidden/>
              </w:rPr>
              <w:fldChar w:fldCharType="begin"/>
            </w:r>
            <w:r w:rsidR="0038571A" w:rsidRPr="0038571A">
              <w:rPr>
                <w:rFonts w:ascii="Arial" w:hAnsi="Arial" w:cs="Arial"/>
                <w:b/>
                <w:noProof/>
                <w:webHidden/>
              </w:rPr>
              <w:instrText xml:space="preserve"> PAGEREF _Toc533068861 \h </w:instrText>
            </w:r>
            <w:r w:rsidR="0038571A" w:rsidRPr="0038571A">
              <w:rPr>
                <w:rFonts w:ascii="Arial" w:hAnsi="Arial" w:cs="Arial"/>
                <w:b/>
                <w:noProof/>
                <w:webHidden/>
              </w:rPr>
            </w:r>
            <w:r w:rsidR="0038571A" w:rsidRPr="0038571A">
              <w:rPr>
                <w:rFonts w:ascii="Arial" w:hAnsi="Arial" w:cs="Arial"/>
                <w:b/>
                <w:noProof/>
                <w:webHidden/>
              </w:rPr>
              <w:fldChar w:fldCharType="separate"/>
            </w:r>
            <w:r w:rsidR="0038571A" w:rsidRPr="0038571A">
              <w:rPr>
                <w:rFonts w:ascii="Arial" w:hAnsi="Arial" w:cs="Arial"/>
                <w:b/>
                <w:noProof/>
                <w:webHidden/>
              </w:rPr>
              <w:t>18</w:t>
            </w:r>
            <w:r w:rsidR="0038571A" w:rsidRPr="0038571A">
              <w:rPr>
                <w:rFonts w:ascii="Arial" w:hAnsi="Arial" w:cs="Arial"/>
                <w:b/>
                <w:noProof/>
                <w:webHidden/>
              </w:rPr>
              <w:fldChar w:fldCharType="end"/>
            </w:r>
          </w:hyperlink>
        </w:p>
        <w:p w14:paraId="0F371F75" w14:textId="77777777" w:rsidR="006C3CE9" w:rsidRDefault="008850BA">
          <w:pPr>
            <w:pStyle w:val="Normal1"/>
            <w:jc w:val="both"/>
            <w:sectPr w:rsidR="006C3CE9">
              <w:type w:val="continuous"/>
              <w:pgSz w:w="11909" w:h="16834" w:code="9"/>
              <w:pgMar w:top="1440" w:right="1440" w:bottom="1440" w:left="1440" w:header="720" w:footer="720" w:gutter="0"/>
              <w:cols w:space="720"/>
            </w:sectPr>
          </w:pPr>
          <w:r>
            <w:fldChar w:fldCharType="end"/>
          </w:r>
        </w:p>
      </w:sdtContent>
    </w:sdt>
    <w:p w14:paraId="50BE86C6" w14:textId="77777777" w:rsidR="006C3CE9" w:rsidRDefault="006C3CE9">
      <w:pPr>
        <w:pStyle w:val="Normal1"/>
        <w:spacing w:after="240"/>
        <w:jc w:val="both"/>
        <w:rPr>
          <w:rFonts w:ascii="Arial" w:eastAsia="Arial" w:hAnsi="Arial" w:cs="Arial"/>
          <w:b/>
          <w:color w:val="000000"/>
        </w:rPr>
      </w:pPr>
    </w:p>
    <w:p w14:paraId="38453E69" w14:textId="77777777" w:rsidR="006C3CE9" w:rsidRDefault="006C3CE9">
      <w:pPr>
        <w:pStyle w:val="Normal1"/>
        <w:jc w:val="both"/>
        <w:rPr>
          <w:rFonts w:eastAsia="Arial"/>
        </w:rPr>
      </w:pPr>
    </w:p>
    <w:p w14:paraId="53780BE0" w14:textId="77777777" w:rsidR="006C3CE9" w:rsidRDefault="006C3CE9">
      <w:pPr>
        <w:pStyle w:val="Normal1"/>
        <w:jc w:val="both"/>
        <w:rPr>
          <w:rFonts w:eastAsia="Arial"/>
        </w:rPr>
        <w:sectPr w:rsidR="006C3CE9">
          <w:type w:val="continuous"/>
          <w:pgSz w:w="11909" w:h="16834"/>
          <w:pgMar w:top="851" w:right="1361" w:bottom="176" w:left="1412" w:header="720" w:footer="720" w:gutter="0"/>
          <w:cols w:space="720"/>
        </w:sectPr>
      </w:pPr>
    </w:p>
    <w:p w14:paraId="3F6C6006" w14:textId="77777777" w:rsidR="006C3CE9" w:rsidRDefault="008850BA">
      <w:pPr>
        <w:pStyle w:val="Heading3"/>
        <w:spacing w:before="0" w:after="240"/>
        <w:jc w:val="both"/>
        <w:rPr>
          <w:rFonts w:ascii="Arial" w:eastAsia="Arial" w:hAnsi="Arial" w:cs="Arial"/>
          <w:b/>
          <w:color w:val="000000"/>
        </w:rPr>
      </w:pPr>
      <w:bookmarkStart w:id="0" w:name="_Toc533068839"/>
      <w:r>
        <w:rPr>
          <w:rFonts w:ascii="Arial" w:eastAsia="Arial" w:hAnsi="Arial" w:cs="Arial"/>
          <w:b/>
          <w:color w:val="000000"/>
        </w:rPr>
        <w:lastRenderedPageBreak/>
        <w:t>1. PURPOSE OF DOCUMENT</w:t>
      </w:r>
      <w:bookmarkEnd w:id="0"/>
    </w:p>
    <w:p w14:paraId="3BACA33E" w14:textId="7C7D1D62"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Following the OJEU Notice for Future Administration of the Civil Service Pension Scheme that was </w:t>
      </w:r>
      <w:r w:rsidR="0038571A">
        <w:rPr>
          <w:rFonts w:ascii="Arial" w:eastAsia="Arial" w:hAnsi="Arial" w:cs="Arial"/>
          <w:color w:val="000000"/>
          <w:sz w:val="24"/>
          <w:szCs w:val="24"/>
        </w:rPr>
        <w:t xml:space="preserve">issued </w:t>
      </w:r>
      <w:r>
        <w:rPr>
          <w:rFonts w:ascii="Arial" w:eastAsia="Arial" w:hAnsi="Arial" w:cs="Arial"/>
          <w:color w:val="000000"/>
          <w:sz w:val="24"/>
          <w:szCs w:val="24"/>
        </w:rPr>
        <w:t xml:space="preserve">on </w:t>
      </w:r>
      <w:r w:rsidR="0038571A">
        <w:rPr>
          <w:rFonts w:ascii="Arial" w:eastAsia="Arial" w:hAnsi="Arial" w:cs="Arial"/>
          <w:color w:val="000000"/>
          <w:sz w:val="24"/>
          <w:szCs w:val="24"/>
        </w:rPr>
        <w:t>20</w:t>
      </w:r>
      <w:r>
        <w:rPr>
          <w:rFonts w:ascii="Arial" w:eastAsia="Arial" w:hAnsi="Arial" w:cs="Arial"/>
          <w:color w:val="000000"/>
          <w:sz w:val="24"/>
          <w:szCs w:val="24"/>
          <w:vertAlign w:val="superscript"/>
        </w:rPr>
        <w:t>th</w:t>
      </w:r>
      <w:r>
        <w:rPr>
          <w:rFonts w:ascii="Arial" w:eastAsia="Arial" w:hAnsi="Arial" w:cs="Arial"/>
          <w:color w:val="000000"/>
          <w:sz w:val="24"/>
          <w:szCs w:val="24"/>
        </w:rPr>
        <w:t xml:space="preserve"> December 2018 (the "</w:t>
      </w:r>
      <w:r>
        <w:rPr>
          <w:rFonts w:ascii="Arial" w:eastAsia="Arial" w:hAnsi="Arial" w:cs="Arial"/>
          <w:b/>
          <w:color w:val="000000"/>
          <w:sz w:val="24"/>
          <w:szCs w:val="24"/>
        </w:rPr>
        <w:t>OJEU Notice</w:t>
      </w:r>
      <w:r>
        <w:rPr>
          <w:rFonts w:ascii="Arial" w:eastAsia="Arial" w:hAnsi="Arial" w:cs="Arial"/>
          <w:color w:val="000000"/>
          <w:sz w:val="24"/>
          <w:szCs w:val="24"/>
        </w:rPr>
        <w:t xml:space="preserve">"), this document contains the information and instructions for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w:t>
      </w:r>
      <w:r w:rsidR="00D47F48">
        <w:rPr>
          <w:rFonts w:ascii="Arial" w:eastAsia="Arial" w:hAnsi="Arial" w:cs="Arial"/>
          <w:b/>
          <w:color w:val="000000"/>
          <w:sz w:val="24"/>
          <w:szCs w:val="24"/>
        </w:rPr>
        <w:t>Potential Bidders</w:t>
      </w:r>
      <w:r>
        <w:rPr>
          <w:rFonts w:ascii="Arial" w:eastAsia="Arial" w:hAnsi="Arial" w:cs="Arial"/>
          <w:color w:val="000000"/>
          <w:sz w:val="24"/>
          <w:szCs w:val="24"/>
        </w:rPr>
        <w:t>") to register their interest for this procurement and complete the Selection Questionnaire ("</w:t>
      </w:r>
      <w:r>
        <w:rPr>
          <w:rFonts w:ascii="Arial" w:eastAsia="Arial" w:hAnsi="Arial" w:cs="Arial"/>
          <w:b/>
          <w:color w:val="000000"/>
          <w:sz w:val="24"/>
          <w:szCs w:val="24"/>
        </w:rPr>
        <w:t>SQ</w:t>
      </w:r>
      <w:r>
        <w:rPr>
          <w:rFonts w:ascii="Arial" w:eastAsia="Arial" w:hAnsi="Arial" w:cs="Arial"/>
          <w:color w:val="000000"/>
          <w:sz w:val="24"/>
          <w:szCs w:val="24"/>
        </w:rPr>
        <w:t>") process as the initial stage of the competitive dialogue process.</w:t>
      </w:r>
    </w:p>
    <w:p w14:paraId="68FF4BED"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The procurement is for Future Administration of the Civil Service Pension Scheme for The Cabinet Office (referred to as the "</w:t>
      </w:r>
      <w:r>
        <w:rPr>
          <w:rFonts w:ascii="Arial" w:eastAsia="Arial" w:hAnsi="Arial" w:cs="Arial"/>
          <w:b/>
          <w:color w:val="000000"/>
          <w:sz w:val="24"/>
          <w:szCs w:val="24"/>
        </w:rPr>
        <w:t>Authority</w:t>
      </w:r>
      <w:r>
        <w:rPr>
          <w:rFonts w:ascii="Arial" w:eastAsia="Arial" w:hAnsi="Arial" w:cs="Arial"/>
          <w:color w:val="000000"/>
          <w:sz w:val="24"/>
          <w:szCs w:val="24"/>
        </w:rPr>
        <w:t>") for which detailed particulars are listed in the OJEU Notice.</w:t>
      </w:r>
    </w:p>
    <w:p w14:paraId="2510AB1A"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This descriptive document will provide the following further supporting information in addition to that contained within the OJEU Notice:</w:t>
      </w:r>
    </w:p>
    <w:p w14:paraId="0B80BC6C"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information about the Authority</w:t>
      </w:r>
    </w:p>
    <w:p w14:paraId="64C922A5"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background on this procurement for Future Administration of the Civil Service Pension Scheme</w:t>
      </w:r>
    </w:p>
    <w:p w14:paraId="1343029D"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details of the end-to-end procurement process</w:t>
      </w:r>
    </w:p>
    <w:p w14:paraId="0CC7FF61"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proposed timelines and phases of the procurement process</w:t>
      </w:r>
    </w:p>
    <w:p w14:paraId="6F9CE482"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details of the initial SQ process and evaluation criteria</w:t>
      </w:r>
    </w:p>
    <w:p w14:paraId="70F738DF" w14:textId="77777777" w:rsidR="006C3CE9" w:rsidRDefault="008850BA">
      <w:pPr>
        <w:pStyle w:val="Normal1"/>
        <w:numPr>
          <w:ilvl w:val="0"/>
          <w:numId w:val="3"/>
        </w:numPr>
        <w:spacing w:after="240"/>
        <w:ind w:left="1287"/>
        <w:jc w:val="both"/>
        <w:rPr>
          <w:color w:val="000000"/>
          <w:sz w:val="24"/>
          <w:szCs w:val="24"/>
        </w:rPr>
      </w:pPr>
      <w:r>
        <w:rPr>
          <w:rFonts w:ascii="Arial" w:eastAsia="Arial" w:hAnsi="Arial" w:cs="Arial"/>
          <w:color w:val="000000"/>
          <w:sz w:val="24"/>
          <w:szCs w:val="24"/>
        </w:rPr>
        <w:t>information on the process for any submitting questions and clarifications</w:t>
      </w:r>
    </w:p>
    <w:p w14:paraId="574DC7B5" w14:textId="77777777" w:rsidR="006C3CE9" w:rsidRDefault="008850BA">
      <w:pPr>
        <w:pStyle w:val="Heading3"/>
        <w:spacing w:before="0" w:after="240"/>
        <w:jc w:val="both"/>
        <w:rPr>
          <w:rFonts w:ascii="Arial" w:eastAsia="Arial" w:hAnsi="Arial" w:cs="Arial"/>
          <w:b/>
          <w:color w:val="000000"/>
        </w:rPr>
      </w:pPr>
      <w:bookmarkStart w:id="1" w:name="_Toc533068840"/>
      <w:r>
        <w:rPr>
          <w:rFonts w:ascii="Arial" w:eastAsia="Arial" w:hAnsi="Arial" w:cs="Arial"/>
          <w:b/>
          <w:color w:val="000000"/>
        </w:rPr>
        <w:t>2. BACKGROUND TO THE AUTHORITY</w:t>
      </w:r>
      <w:bookmarkEnd w:id="1"/>
      <w:r>
        <w:rPr>
          <w:rFonts w:ascii="Arial" w:eastAsia="Arial" w:hAnsi="Arial" w:cs="Arial"/>
          <w:b/>
          <w:color w:val="000000"/>
        </w:rPr>
        <w:t xml:space="preserve"> </w:t>
      </w:r>
    </w:p>
    <w:p w14:paraId="5DF35EF7"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The Authority is at the centre of Government, co-ordinating policy and strategy.  Headed up by the Permanent Secretary and comprising a number of different business units, the Authority has three core functions that enable it to achieve its overarching purpose of making Government more effective:</w:t>
      </w:r>
    </w:p>
    <w:p w14:paraId="5C8F1F5E" w14:textId="77777777" w:rsidR="006C3CE9" w:rsidRDefault="008850BA">
      <w:pPr>
        <w:pStyle w:val="Normal1"/>
        <w:numPr>
          <w:ilvl w:val="0"/>
          <w:numId w:val="5"/>
        </w:numPr>
        <w:spacing w:after="240"/>
        <w:ind w:left="714" w:right="74" w:hanging="357"/>
        <w:jc w:val="both"/>
        <w:rPr>
          <w:color w:val="000000"/>
        </w:rPr>
      </w:pPr>
      <w:r>
        <w:rPr>
          <w:rFonts w:ascii="Arial" w:eastAsia="Arial" w:hAnsi="Arial" w:cs="Arial"/>
          <w:color w:val="000000"/>
          <w:sz w:val="24"/>
          <w:szCs w:val="24"/>
        </w:rPr>
        <w:t>supporting the Prime Minister – to define and deliver the Government’s objectives</w:t>
      </w:r>
    </w:p>
    <w:p w14:paraId="79B339BA" w14:textId="77777777" w:rsidR="006C3CE9" w:rsidRDefault="008850BA">
      <w:pPr>
        <w:pStyle w:val="Normal1"/>
        <w:numPr>
          <w:ilvl w:val="0"/>
          <w:numId w:val="5"/>
        </w:numPr>
        <w:spacing w:after="240"/>
        <w:ind w:left="714" w:right="74" w:hanging="357"/>
        <w:jc w:val="both"/>
        <w:rPr>
          <w:color w:val="000000"/>
        </w:rPr>
      </w:pPr>
      <w:r>
        <w:rPr>
          <w:rFonts w:ascii="Arial" w:eastAsia="Arial" w:hAnsi="Arial" w:cs="Arial"/>
          <w:color w:val="000000"/>
          <w:sz w:val="24"/>
          <w:szCs w:val="24"/>
        </w:rPr>
        <w:t>supporting the Authority – to drive the coherence, quality and delivery of policy and operations across departments</w:t>
      </w:r>
    </w:p>
    <w:p w14:paraId="6BBA99F1" w14:textId="77777777" w:rsidR="006C3CE9" w:rsidRDefault="008850BA">
      <w:pPr>
        <w:pStyle w:val="Normal1"/>
        <w:numPr>
          <w:ilvl w:val="0"/>
          <w:numId w:val="5"/>
        </w:numPr>
        <w:spacing w:after="240"/>
        <w:ind w:left="714" w:right="74" w:hanging="357"/>
        <w:jc w:val="both"/>
        <w:rPr>
          <w:color w:val="000000"/>
        </w:rPr>
      </w:pPr>
      <w:r>
        <w:rPr>
          <w:rFonts w:ascii="Arial" w:eastAsia="Arial" w:hAnsi="Arial" w:cs="Arial"/>
          <w:color w:val="000000"/>
          <w:sz w:val="24"/>
          <w:szCs w:val="24"/>
        </w:rPr>
        <w:t>strengthening the Civil Service – to ensure the civil service is organised effectively and has the capability in terms of skills, values and leadership to deliver the Government’s objectives</w:t>
      </w:r>
    </w:p>
    <w:p w14:paraId="70B098AD" w14:textId="63E3DC1B"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Information </w:t>
      </w:r>
      <w:proofErr w:type="gramStart"/>
      <w:r>
        <w:rPr>
          <w:rFonts w:ascii="Arial" w:eastAsia="Arial" w:hAnsi="Arial" w:cs="Arial"/>
          <w:color w:val="000000"/>
          <w:sz w:val="24"/>
          <w:szCs w:val="24"/>
        </w:rPr>
        <w:t>about</w:t>
      </w:r>
      <w:proofErr w:type="gramEnd"/>
      <w:r>
        <w:rPr>
          <w:rFonts w:ascii="Arial" w:eastAsia="Arial" w:hAnsi="Arial" w:cs="Arial"/>
          <w:color w:val="000000"/>
          <w:sz w:val="24"/>
          <w:szCs w:val="24"/>
        </w:rPr>
        <w:t xml:space="preserve"> the Authority can be found by visiting</w:t>
      </w:r>
      <w:r w:rsidR="0038571A">
        <w:rPr>
          <w:rFonts w:ascii="Arial" w:eastAsia="Arial" w:hAnsi="Arial" w:cs="Arial"/>
          <w:color w:val="000000"/>
          <w:sz w:val="24"/>
          <w:szCs w:val="24"/>
        </w:rPr>
        <w:t xml:space="preserve">: </w:t>
      </w:r>
      <w:hyperlink r:id="rId10" w:history="1">
        <w:r w:rsidR="0038571A" w:rsidRPr="001E287D">
          <w:rPr>
            <w:rStyle w:val="Hyperlink"/>
            <w:rFonts w:ascii="Arial" w:eastAsia="Arial" w:hAnsi="Arial" w:cs="Arial"/>
            <w:sz w:val="24"/>
            <w:szCs w:val="24"/>
          </w:rPr>
          <w:t>www.gov.uk/government/organisations/cabinet-office</w:t>
        </w:r>
      </w:hyperlink>
      <w:r w:rsidR="0038571A">
        <w:rPr>
          <w:rFonts w:ascii="Arial" w:eastAsia="Arial" w:hAnsi="Arial" w:cs="Arial"/>
          <w:color w:val="000000"/>
          <w:sz w:val="24"/>
          <w:szCs w:val="24"/>
        </w:rPr>
        <w:t>.</w:t>
      </w:r>
    </w:p>
    <w:p w14:paraId="41DE14DE" w14:textId="77777777" w:rsidR="006C3CE9" w:rsidRDefault="008850BA">
      <w:pPr>
        <w:pStyle w:val="Heading3"/>
        <w:spacing w:before="0" w:after="240"/>
        <w:jc w:val="both"/>
        <w:rPr>
          <w:rFonts w:ascii="Arial" w:eastAsia="Arial" w:hAnsi="Arial" w:cs="Arial"/>
          <w:b/>
          <w:color w:val="000000"/>
        </w:rPr>
      </w:pPr>
      <w:bookmarkStart w:id="2" w:name="_Toc533068841"/>
      <w:r>
        <w:rPr>
          <w:rFonts w:ascii="Arial" w:eastAsia="Arial" w:hAnsi="Arial" w:cs="Arial"/>
          <w:b/>
          <w:color w:val="000000"/>
        </w:rPr>
        <w:lastRenderedPageBreak/>
        <w:t>3. BACKGROUND TO THE CIVIL SERVICE PENSION SCHEME (CSPS)</w:t>
      </w:r>
      <w:bookmarkEnd w:id="2"/>
    </w:p>
    <w:p w14:paraId="7FD35166" w14:textId="77777777" w:rsidR="006C3CE9" w:rsidRDefault="008850BA">
      <w:pPr>
        <w:pStyle w:val="Heading3"/>
        <w:spacing w:before="0" w:after="240"/>
        <w:jc w:val="both"/>
        <w:rPr>
          <w:rFonts w:ascii="Arial" w:eastAsia="Arial" w:hAnsi="Arial" w:cs="Arial"/>
          <w:b/>
          <w:color w:val="000000"/>
        </w:rPr>
      </w:pPr>
      <w:bookmarkStart w:id="3" w:name="_Toc533068842"/>
      <w:r>
        <w:rPr>
          <w:rFonts w:ascii="Arial" w:eastAsia="Arial" w:hAnsi="Arial" w:cs="Arial"/>
          <w:b/>
          <w:color w:val="000000"/>
        </w:rPr>
        <w:t>Background Information</w:t>
      </w:r>
      <w:bookmarkEnd w:id="3"/>
    </w:p>
    <w:p w14:paraId="68E6C491"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The Civil Service Pension Scheme ("</w:t>
      </w:r>
      <w:r>
        <w:rPr>
          <w:rFonts w:ascii="Arial" w:eastAsia="Arial" w:hAnsi="Arial" w:cs="Arial"/>
          <w:b/>
          <w:color w:val="000000"/>
          <w:sz w:val="24"/>
          <w:szCs w:val="24"/>
        </w:rPr>
        <w:t>CSPS</w:t>
      </w:r>
      <w:r>
        <w:rPr>
          <w:rFonts w:ascii="Arial" w:eastAsia="Arial" w:hAnsi="Arial" w:cs="Arial"/>
          <w:color w:val="000000"/>
          <w:sz w:val="24"/>
          <w:szCs w:val="24"/>
        </w:rPr>
        <w:t xml:space="preserve">") has approximately 475,000 active members, 360,000 deferred members and 662,000 pensioners.  The pension administration services required include the following: </w:t>
      </w:r>
    </w:p>
    <w:p w14:paraId="780FDB18"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accounting services</w:t>
      </w:r>
    </w:p>
    <w:p w14:paraId="1355218E"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administration services</w:t>
      </w:r>
    </w:p>
    <w:p w14:paraId="43F5058D"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employer services including:</w:t>
      </w:r>
    </w:p>
    <w:p w14:paraId="29E2B835" w14:textId="77777777" w:rsidR="006C3CE9" w:rsidRDefault="008850BA">
      <w:pPr>
        <w:pStyle w:val="Normal1"/>
        <w:numPr>
          <w:ilvl w:val="1"/>
          <w:numId w:val="4"/>
        </w:numPr>
        <w:pBdr>
          <w:top w:val="nil"/>
          <w:left w:val="nil"/>
          <w:bottom w:val="nil"/>
          <w:right w:val="nil"/>
          <w:between w:val="nil"/>
        </w:pBdr>
        <w:spacing w:after="240"/>
        <w:ind w:left="1775" w:hanging="356"/>
        <w:jc w:val="both"/>
        <w:rPr>
          <w:color w:val="000000"/>
          <w:sz w:val="24"/>
          <w:szCs w:val="24"/>
        </w:rPr>
      </w:pPr>
      <w:r>
        <w:rPr>
          <w:rFonts w:ascii="Arial" w:eastAsia="Arial" w:hAnsi="Arial" w:cs="Arial"/>
          <w:color w:val="000000"/>
          <w:sz w:val="24"/>
          <w:szCs w:val="24"/>
        </w:rPr>
        <w:t>the collection of data</w:t>
      </w:r>
    </w:p>
    <w:p w14:paraId="79C195C1" w14:textId="77777777" w:rsidR="006C3CE9" w:rsidRDefault="008850BA">
      <w:pPr>
        <w:pStyle w:val="Normal1"/>
        <w:numPr>
          <w:ilvl w:val="1"/>
          <w:numId w:val="4"/>
        </w:numPr>
        <w:pBdr>
          <w:top w:val="nil"/>
          <w:left w:val="nil"/>
          <w:bottom w:val="nil"/>
          <w:right w:val="nil"/>
          <w:between w:val="nil"/>
        </w:pBdr>
        <w:spacing w:after="240"/>
        <w:ind w:left="1775" w:hanging="356"/>
        <w:jc w:val="both"/>
        <w:rPr>
          <w:color w:val="000000"/>
          <w:sz w:val="24"/>
          <w:szCs w:val="24"/>
        </w:rPr>
      </w:pPr>
      <w:r>
        <w:rPr>
          <w:rFonts w:ascii="Arial" w:eastAsia="Arial" w:hAnsi="Arial" w:cs="Arial"/>
          <w:color w:val="000000"/>
          <w:sz w:val="24"/>
          <w:szCs w:val="24"/>
        </w:rPr>
        <w:t>communications, including digital</w:t>
      </w:r>
    </w:p>
    <w:p w14:paraId="129AF86A" w14:textId="77777777" w:rsidR="006C3CE9" w:rsidRDefault="008850BA">
      <w:pPr>
        <w:pStyle w:val="Normal1"/>
        <w:numPr>
          <w:ilvl w:val="1"/>
          <w:numId w:val="4"/>
        </w:numPr>
        <w:pBdr>
          <w:top w:val="nil"/>
          <w:left w:val="nil"/>
          <w:bottom w:val="nil"/>
          <w:right w:val="nil"/>
          <w:between w:val="nil"/>
        </w:pBdr>
        <w:spacing w:after="240"/>
        <w:ind w:left="1775" w:hanging="356"/>
        <w:jc w:val="both"/>
        <w:rPr>
          <w:color w:val="000000"/>
          <w:sz w:val="24"/>
          <w:szCs w:val="24"/>
        </w:rPr>
      </w:pPr>
      <w:r>
        <w:rPr>
          <w:rFonts w:ascii="Arial" w:eastAsia="Arial" w:hAnsi="Arial" w:cs="Arial"/>
          <w:color w:val="000000"/>
          <w:sz w:val="24"/>
          <w:szCs w:val="24"/>
        </w:rPr>
        <w:t>the provision of a portal</w:t>
      </w:r>
    </w:p>
    <w:p w14:paraId="5E38B22E"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 xml:space="preserve">maintenance of a comprehensive single database of members records which complies with relevant legislation and regulatory requirements </w:t>
      </w:r>
    </w:p>
    <w:p w14:paraId="401866FA"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member services, including:</w:t>
      </w:r>
    </w:p>
    <w:p w14:paraId="03335D9D" w14:textId="77777777" w:rsidR="006C3CE9" w:rsidRDefault="008850BA">
      <w:pPr>
        <w:pStyle w:val="Normal1"/>
        <w:numPr>
          <w:ilvl w:val="1"/>
          <w:numId w:val="4"/>
        </w:numPr>
        <w:pBdr>
          <w:top w:val="nil"/>
          <w:left w:val="nil"/>
          <w:bottom w:val="nil"/>
          <w:right w:val="nil"/>
          <w:between w:val="nil"/>
        </w:pBdr>
        <w:spacing w:after="240"/>
        <w:ind w:left="1775" w:hanging="356"/>
        <w:jc w:val="both"/>
        <w:rPr>
          <w:color w:val="000000"/>
          <w:sz w:val="24"/>
          <w:szCs w:val="24"/>
        </w:rPr>
      </w:pPr>
      <w:r>
        <w:rPr>
          <w:rFonts w:ascii="Arial" w:eastAsia="Arial" w:hAnsi="Arial" w:cs="Arial"/>
          <w:color w:val="000000"/>
          <w:sz w:val="24"/>
          <w:szCs w:val="24"/>
        </w:rPr>
        <w:t>the provision of self service capability</w:t>
      </w:r>
    </w:p>
    <w:p w14:paraId="649B0CE0" w14:textId="77777777" w:rsidR="006C3CE9" w:rsidRDefault="008850BA">
      <w:pPr>
        <w:pStyle w:val="Normal1"/>
        <w:numPr>
          <w:ilvl w:val="1"/>
          <w:numId w:val="4"/>
        </w:numPr>
        <w:pBdr>
          <w:top w:val="nil"/>
          <w:left w:val="nil"/>
          <w:bottom w:val="nil"/>
          <w:right w:val="nil"/>
          <w:between w:val="nil"/>
        </w:pBdr>
        <w:spacing w:after="240"/>
        <w:ind w:left="1775" w:hanging="356"/>
        <w:jc w:val="both"/>
        <w:rPr>
          <w:color w:val="000000"/>
          <w:sz w:val="24"/>
          <w:szCs w:val="24"/>
        </w:rPr>
      </w:pPr>
      <w:r>
        <w:rPr>
          <w:rFonts w:ascii="Arial" w:eastAsia="Arial" w:hAnsi="Arial" w:cs="Arial"/>
          <w:color w:val="000000"/>
          <w:sz w:val="24"/>
          <w:szCs w:val="24"/>
        </w:rPr>
        <w:t>the accurate and timely calculation of pension awards</w:t>
      </w:r>
    </w:p>
    <w:p w14:paraId="2B49DA1A" w14:textId="77777777" w:rsidR="006C3CE9" w:rsidRDefault="008850BA">
      <w:pPr>
        <w:pStyle w:val="Normal1"/>
        <w:numPr>
          <w:ilvl w:val="1"/>
          <w:numId w:val="4"/>
        </w:numPr>
        <w:pBdr>
          <w:top w:val="nil"/>
          <w:left w:val="nil"/>
          <w:bottom w:val="nil"/>
          <w:right w:val="nil"/>
          <w:between w:val="nil"/>
        </w:pBdr>
        <w:spacing w:after="240"/>
        <w:ind w:left="1775" w:hanging="356"/>
        <w:jc w:val="both"/>
        <w:rPr>
          <w:color w:val="000000"/>
          <w:sz w:val="24"/>
          <w:szCs w:val="24"/>
        </w:rPr>
      </w:pPr>
      <w:r>
        <w:rPr>
          <w:rFonts w:ascii="Arial" w:eastAsia="Arial" w:hAnsi="Arial" w:cs="Arial"/>
          <w:color w:val="000000"/>
          <w:sz w:val="24"/>
          <w:szCs w:val="24"/>
        </w:rPr>
        <w:t>member communications (including digital communications, managing and operating a helpline, issuing benefits statements, annual pension increase letters, printing services and scheme leaflets)</w:t>
      </w:r>
    </w:p>
    <w:p w14:paraId="4B40D111"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 xml:space="preserve">pension payroll services (bulk and individual payroll services) </w:t>
      </w:r>
    </w:p>
    <w:p w14:paraId="10A146CE"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 xml:space="preserve">reporting including management information and provision of information to regulators and other bodies as needed </w:t>
      </w:r>
    </w:p>
    <w:p w14:paraId="16260735" w14:textId="654394CC"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The Authority expects that the Transfer of Undertakings (Protection of Employment) Regulations 2006 ("</w:t>
      </w:r>
      <w:r>
        <w:rPr>
          <w:rFonts w:ascii="Arial" w:eastAsia="Arial" w:hAnsi="Arial" w:cs="Arial"/>
          <w:b/>
          <w:color w:val="000000"/>
          <w:sz w:val="24"/>
          <w:szCs w:val="24"/>
        </w:rPr>
        <w:t>TUPE</w:t>
      </w:r>
      <w:r>
        <w:rPr>
          <w:rFonts w:ascii="Arial" w:eastAsia="Arial" w:hAnsi="Arial" w:cs="Arial"/>
          <w:color w:val="000000"/>
          <w:sz w:val="24"/>
          <w:szCs w:val="24"/>
        </w:rPr>
        <w:t xml:space="preserve">") may apply.  Indicative numbers suggest up to 450 staff may be in scope to transfer.  However, the Authority does not accept any liability for reliance upon this opinion and encourages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to seek independent advice to determine whether or not TUPE will apply.  Further details will be released throughout the procurement process.  </w:t>
      </w:r>
    </w:p>
    <w:p w14:paraId="4BEF42D6" w14:textId="423A0043" w:rsidR="006C3CE9" w:rsidRDefault="00D47F48">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Potential Bidders</w:t>
      </w:r>
      <w:r w:rsidR="008850BA">
        <w:rPr>
          <w:rFonts w:ascii="Arial" w:eastAsia="Arial" w:hAnsi="Arial" w:cs="Arial"/>
          <w:color w:val="000000"/>
          <w:sz w:val="24"/>
          <w:szCs w:val="24"/>
        </w:rPr>
        <w:t xml:space="preserve"> are advised that the contract will be awarded for an initial term of 7 years (excluding transition) with an option to extend for a further 3 year this will be exercised at the discretion of the Authority.</w:t>
      </w:r>
    </w:p>
    <w:p w14:paraId="34E3E9A1" w14:textId="7874E02A"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selected for the future administration of the CSPS contract following this procurement (the "</w:t>
      </w:r>
      <w:r>
        <w:rPr>
          <w:rFonts w:ascii="Arial" w:eastAsia="Arial" w:hAnsi="Arial" w:cs="Arial"/>
          <w:b/>
          <w:color w:val="000000"/>
          <w:sz w:val="24"/>
          <w:szCs w:val="24"/>
        </w:rPr>
        <w:t>Contract</w:t>
      </w:r>
      <w:r>
        <w:rPr>
          <w:rFonts w:ascii="Arial" w:eastAsia="Arial" w:hAnsi="Arial" w:cs="Arial"/>
          <w:color w:val="000000"/>
          <w:sz w:val="24"/>
          <w:szCs w:val="24"/>
        </w:rPr>
        <w:t xml:space="preserve">") will play a pivotal role in delivering a service that puts member experience at its heart, whilst transforming the service to employers. As a result, the Authority is looking for a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with experience </w:t>
      </w:r>
      <w:r>
        <w:rPr>
          <w:rFonts w:ascii="Arial" w:eastAsia="Arial" w:hAnsi="Arial" w:cs="Arial"/>
          <w:color w:val="000000"/>
          <w:sz w:val="24"/>
          <w:szCs w:val="24"/>
        </w:rPr>
        <w:lastRenderedPageBreak/>
        <w:t>in delivering service to clients similar in size and complexity to the Authority and who understands the importance of the continuity and stability of service provision.</w:t>
      </w:r>
    </w:p>
    <w:p w14:paraId="26868FD2" w14:textId="77777777" w:rsidR="006C3CE9" w:rsidRDefault="008850BA">
      <w:pPr>
        <w:pStyle w:val="Heading3"/>
        <w:spacing w:before="0" w:after="240"/>
        <w:jc w:val="both"/>
        <w:rPr>
          <w:rFonts w:ascii="Arial" w:eastAsia="Arial" w:hAnsi="Arial" w:cs="Arial"/>
          <w:b/>
          <w:color w:val="000000"/>
        </w:rPr>
      </w:pPr>
      <w:bookmarkStart w:id="4" w:name="_Toc533068843"/>
      <w:r>
        <w:rPr>
          <w:rFonts w:ascii="Arial" w:eastAsia="Arial" w:hAnsi="Arial" w:cs="Arial"/>
          <w:b/>
          <w:color w:val="000000"/>
        </w:rPr>
        <w:t>The scope of this procurement as detailed in the OJEU Notice is reproduced below:</w:t>
      </w:r>
      <w:bookmarkEnd w:id="4"/>
    </w:p>
    <w:p w14:paraId="134825F6"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CSPS is managed by the Authority. </w:t>
      </w:r>
    </w:p>
    <w:p w14:paraId="51E50A75"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current contract for the administration of the CSPS expires on 31 December 2021. </w:t>
      </w:r>
    </w:p>
    <w:p w14:paraId="5ACF1E44"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Authority is therefore looking for proposals to respond to this significant pension administration services opportunity. This procurement is solely for the administration services of the CSPS and the following associated schemes: </w:t>
      </w:r>
    </w:p>
    <w:p w14:paraId="56C908E5"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the Principal Civil Service Pension Scheme</w:t>
      </w:r>
    </w:p>
    <w:p w14:paraId="79670C22"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the Civil Service and Others Pension Scheme</w:t>
      </w:r>
    </w:p>
    <w:p w14:paraId="0149777B"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 xml:space="preserve">the Civil Service Compensation Scheme </w:t>
      </w:r>
    </w:p>
    <w:p w14:paraId="7A79585C"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the Civil Service Injury Benefits Scheme</w:t>
      </w:r>
    </w:p>
    <w:p w14:paraId="1C3FC7D9"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References to the CSPS in this document includes the above associated schemes (unless the context requires otherwise).</w:t>
      </w:r>
    </w:p>
    <w:p w14:paraId="55E2899A"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aims for the CSPS are ambitious.  The Authority is seeking a partner whose ambitions match theirs, and who has the willingness and ability to deliver the things that are most important to them. These are: </w:t>
      </w:r>
    </w:p>
    <w:p w14:paraId="6EC5B481"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a great member experience, with the right money always being paid to the right person at the right time</w:t>
      </w:r>
    </w:p>
    <w:p w14:paraId="31AAB7B8"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a real and lasting commitment to continuous improvement over the life of the contract, delivering the latest technology updates, with a desire to innovate consistently to improve the member experience</w:t>
      </w:r>
    </w:p>
    <w:p w14:paraId="7D56D53F"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a service to our scheme employers that reduces their burdens and helps them fulfill their responsibilities</w:t>
      </w:r>
    </w:p>
    <w:p w14:paraId="073FD610"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value for money to the taxpayers</w:t>
      </w:r>
    </w:p>
    <w:p w14:paraId="3703E72D"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overall, a service that can be measured and shown to be a match for anything in the UK pensions industry</w:t>
      </w:r>
    </w:p>
    <w:p w14:paraId="2BC86824"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successful bidder(s) will be expected to work with the Authority in its role as scheme manager, as well as with all current and potential employers, (of whom there are currently around 350) covered by the scheme. </w:t>
      </w:r>
    </w:p>
    <w:p w14:paraId="424FE8CC"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We are happy to consider bids from consortia.</w:t>
      </w:r>
    </w:p>
    <w:p w14:paraId="0EA2AB09" w14:textId="77777777" w:rsidR="006C3CE9" w:rsidRDefault="008850BA">
      <w:pPr>
        <w:pStyle w:val="Heading3"/>
        <w:spacing w:before="0" w:after="240"/>
        <w:jc w:val="both"/>
        <w:rPr>
          <w:rFonts w:ascii="Arial" w:eastAsia="Arial" w:hAnsi="Arial" w:cs="Arial"/>
          <w:b/>
          <w:color w:val="000000"/>
        </w:rPr>
      </w:pPr>
      <w:bookmarkStart w:id="5" w:name="_Toc533068844"/>
      <w:r>
        <w:rPr>
          <w:rFonts w:ascii="Arial" w:eastAsia="Arial" w:hAnsi="Arial" w:cs="Arial"/>
          <w:b/>
          <w:color w:val="000000"/>
        </w:rPr>
        <w:lastRenderedPageBreak/>
        <w:t>Further specific details of the scope of the procurement are detailed below:</w:t>
      </w:r>
      <w:bookmarkEnd w:id="5"/>
      <w:r>
        <w:rPr>
          <w:rFonts w:ascii="Arial" w:eastAsia="Arial" w:hAnsi="Arial" w:cs="Arial"/>
          <w:b/>
          <w:color w:val="000000"/>
        </w:rPr>
        <w:t xml:space="preserve"> </w:t>
      </w:r>
    </w:p>
    <w:p w14:paraId="11883258" w14:textId="0F6567C1"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Authority has identified seven strategic areas that will be critical for achieving its aim. The text below summaries how the Authority will require the successful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to support these areas: </w:t>
      </w:r>
    </w:p>
    <w:p w14:paraId="310004AE" w14:textId="77777777" w:rsidR="006C3CE9" w:rsidRDefault="008850BA">
      <w:pPr>
        <w:pStyle w:val="Normal1"/>
        <w:keepNext/>
        <w:spacing w:after="240"/>
        <w:ind w:right="72"/>
        <w:jc w:val="both"/>
        <w:rPr>
          <w:b/>
          <w:color w:val="000000"/>
          <w:sz w:val="24"/>
          <w:szCs w:val="24"/>
        </w:rPr>
      </w:pPr>
      <w:r>
        <w:rPr>
          <w:rFonts w:ascii="Arial" w:eastAsia="Arial" w:hAnsi="Arial" w:cs="Arial"/>
          <w:b/>
          <w:color w:val="000000"/>
          <w:sz w:val="24"/>
          <w:szCs w:val="24"/>
        </w:rPr>
        <w:t xml:space="preserve">Future Service </w:t>
      </w:r>
    </w:p>
    <w:p w14:paraId="68C04F37" w14:textId="77777777" w:rsidR="006C3CE9" w:rsidRDefault="008850BA">
      <w:pPr>
        <w:pStyle w:val="Normal1"/>
        <w:spacing w:after="240"/>
        <w:ind w:right="72"/>
        <w:jc w:val="both"/>
        <w:rPr>
          <w:color w:val="000000"/>
          <w:sz w:val="24"/>
          <w:szCs w:val="24"/>
        </w:rPr>
      </w:pPr>
      <w:r>
        <w:rPr>
          <w:rFonts w:ascii="Arial" w:eastAsia="Arial" w:hAnsi="Arial" w:cs="Arial"/>
          <w:color w:val="000000"/>
          <w:sz w:val="24"/>
          <w:szCs w:val="24"/>
        </w:rPr>
        <w:t>A partner who will act as an intelligent provider to deliver a service that:</w:t>
      </w:r>
    </w:p>
    <w:p w14:paraId="34ABE02D"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 xml:space="preserve">is compliant with the CSPS scheme rules </w:t>
      </w:r>
    </w:p>
    <w:p w14:paraId="40C3E71A"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meets mutually agreed standards of service that reflect best industry practice</w:t>
      </w:r>
    </w:p>
    <w:p w14:paraId="3685B899"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delivers value for money to the taxpayer</w:t>
      </w:r>
    </w:p>
    <w:p w14:paraId="43078B7E"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delivers continuous service improvement</w:t>
      </w:r>
    </w:p>
    <w:p w14:paraId="137F264F"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uses technological innovation in a constructive and cost-efficient way based on improving member and employer service</w:t>
      </w:r>
    </w:p>
    <w:p w14:paraId="0FED6DC2" w14:textId="77777777" w:rsidR="006C3CE9" w:rsidRDefault="008850BA">
      <w:pPr>
        <w:pStyle w:val="Normal1"/>
        <w:numPr>
          <w:ilvl w:val="0"/>
          <w:numId w:val="3"/>
        </w:numPr>
        <w:spacing w:after="240"/>
        <w:ind w:left="1287"/>
        <w:jc w:val="both"/>
        <w:rPr>
          <w:sz w:val="24"/>
          <w:szCs w:val="24"/>
        </w:rPr>
      </w:pPr>
      <w:proofErr w:type="spellStart"/>
      <w:r>
        <w:rPr>
          <w:rFonts w:ascii="Arial" w:eastAsia="Arial" w:hAnsi="Arial" w:cs="Arial"/>
          <w:color w:val="000000"/>
          <w:sz w:val="24"/>
          <w:szCs w:val="24"/>
        </w:rPr>
        <w:t>recognises</w:t>
      </w:r>
      <w:proofErr w:type="spellEnd"/>
      <w:r>
        <w:rPr>
          <w:rFonts w:ascii="Arial" w:eastAsia="Arial" w:hAnsi="Arial" w:cs="Arial"/>
          <w:color w:val="000000"/>
          <w:sz w:val="24"/>
          <w:szCs w:val="24"/>
        </w:rPr>
        <w:t xml:space="preserve"> the Authority as a premium client who has access to the best possible service that the partner can offer</w:t>
      </w:r>
    </w:p>
    <w:p w14:paraId="229862C7" w14:textId="77777777" w:rsidR="006C3CE9" w:rsidRDefault="008850BA">
      <w:pPr>
        <w:pStyle w:val="Normal1"/>
        <w:spacing w:after="240"/>
        <w:ind w:right="72"/>
        <w:jc w:val="both"/>
        <w:rPr>
          <w:b/>
          <w:color w:val="000000"/>
          <w:sz w:val="24"/>
          <w:szCs w:val="24"/>
        </w:rPr>
      </w:pPr>
      <w:r>
        <w:rPr>
          <w:rFonts w:ascii="Arial" w:eastAsia="Arial" w:hAnsi="Arial" w:cs="Arial"/>
          <w:b/>
          <w:color w:val="000000"/>
          <w:sz w:val="24"/>
          <w:szCs w:val="24"/>
        </w:rPr>
        <w:t xml:space="preserve">The Core Service </w:t>
      </w:r>
    </w:p>
    <w:p w14:paraId="4B1221B7" w14:textId="77777777" w:rsidR="006C3CE9" w:rsidRDefault="008850BA">
      <w:pPr>
        <w:pStyle w:val="Normal1"/>
        <w:spacing w:after="240"/>
        <w:ind w:right="72"/>
        <w:jc w:val="both"/>
        <w:rPr>
          <w:color w:val="000000"/>
          <w:sz w:val="24"/>
          <w:szCs w:val="24"/>
        </w:rPr>
      </w:pPr>
      <w:r>
        <w:rPr>
          <w:rFonts w:ascii="Arial" w:eastAsia="Arial" w:hAnsi="Arial" w:cs="Arial"/>
          <w:color w:val="000000"/>
          <w:sz w:val="24"/>
          <w:szCs w:val="24"/>
        </w:rPr>
        <w:t>A partner who will act as an intelligent provider by:</w:t>
      </w:r>
    </w:p>
    <w:p w14:paraId="11A456E1"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calculating and paying benefits in accordance with the scheme rules carrying out administrative tasks, such as transfers and member queries effectively and efficiently using the communication channels that the individual member wishes to choose</w:t>
      </w:r>
    </w:p>
    <w:p w14:paraId="68A5B0B4"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handling all casework in a timely way that accords with the  scheme regulations and, where appropriate, agreed discretions</w:t>
      </w:r>
    </w:p>
    <w:p w14:paraId="3778E7B8" w14:textId="77777777" w:rsidR="006C3CE9" w:rsidRDefault="008850BA">
      <w:pPr>
        <w:pStyle w:val="Normal1"/>
        <w:spacing w:after="240"/>
        <w:ind w:right="72"/>
        <w:jc w:val="both"/>
        <w:rPr>
          <w:b/>
          <w:color w:val="000000"/>
          <w:sz w:val="24"/>
          <w:szCs w:val="24"/>
        </w:rPr>
      </w:pPr>
      <w:r>
        <w:rPr>
          <w:rFonts w:ascii="Arial" w:eastAsia="Arial" w:hAnsi="Arial" w:cs="Arial"/>
          <w:b/>
          <w:color w:val="000000"/>
          <w:sz w:val="24"/>
          <w:szCs w:val="24"/>
        </w:rPr>
        <w:t xml:space="preserve">Continuous Improvement </w:t>
      </w:r>
    </w:p>
    <w:p w14:paraId="345E6120" w14:textId="77777777" w:rsidR="006C3CE9" w:rsidRDefault="008850BA">
      <w:pPr>
        <w:pStyle w:val="Normal1"/>
        <w:spacing w:after="240"/>
        <w:ind w:right="72"/>
        <w:jc w:val="both"/>
        <w:rPr>
          <w:color w:val="000000"/>
          <w:sz w:val="24"/>
          <w:szCs w:val="24"/>
        </w:rPr>
      </w:pPr>
      <w:r>
        <w:rPr>
          <w:rFonts w:ascii="Arial" w:eastAsia="Arial" w:hAnsi="Arial" w:cs="Arial"/>
          <w:color w:val="000000"/>
          <w:sz w:val="24"/>
          <w:szCs w:val="24"/>
        </w:rPr>
        <w:t xml:space="preserve">A partner who will act as an intelligent provider by: </w:t>
      </w:r>
    </w:p>
    <w:p w14:paraId="23C0D5F4" w14:textId="77777777" w:rsidR="006C3CE9" w:rsidRDefault="008850BA">
      <w:pPr>
        <w:pStyle w:val="Normal1"/>
        <w:numPr>
          <w:ilvl w:val="0"/>
          <w:numId w:val="3"/>
        </w:numPr>
        <w:spacing w:after="240"/>
        <w:ind w:left="1287"/>
        <w:jc w:val="both"/>
        <w:rPr>
          <w:sz w:val="24"/>
          <w:szCs w:val="24"/>
        </w:rPr>
      </w:pPr>
      <w:proofErr w:type="gramStart"/>
      <w:r>
        <w:rPr>
          <w:rFonts w:ascii="Arial" w:eastAsia="Arial" w:hAnsi="Arial" w:cs="Arial"/>
          <w:color w:val="000000"/>
          <w:sz w:val="24"/>
          <w:szCs w:val="24"/>
        </w:rPr>
        <w:t>demonstrating</w:t>
      </w:r>
      <w:proofErr w:type="gramEnd"/>
      <w:r>
        <w:rPr>
          <w:rFonts w:ascii="Arial" w:eastAsia="Arial" w:hAnsi="Arial" w:cs="Arial"/>
          <w:color w:val="000000"/>
          <w:sz w:val="24"/>
          <w:szCs w:val="24"/>
        </w:rPr>
        <w:t xml:space="preserve"> a commitment to continuous improvement throughout the course of the Contract.  The aims of continuous improvement must be:</w:t>
      </w:r>
    </w:p>
    <w:p w14:paraId="37DCB680" w14:textId="77777777" w:rsidR="006C3CE9" w:rsidRDefault="008850BA">
      <w:pPr>
        <w:pStyle w:val="Normal1"/>
        <w:numPr>
          <w:ilvl w:val="1"/>
          <w:numId w:val="4"/>
        </w:numPr>
        <w:pBdr>
          <w:top w:val="nil"/>
          <w:left w:val="nil"/>
          <w:bottom w:val="nil"/>
          <w:right w:val="nil"/>
          <w:between w:val="nil"/>
        </w:pBdr>
        <w:spacing w:after="240"/>
        <w:ind w:left="1775" w:hanging="356"/>
        <w:jc w:val="both"/>
        <w:rPr>
          <w:color w:val="000000"/>
          <w:sz w:val="24"/>
          <w:szCs w:val="24"/>
        </w:rPr>
      </w:pPr>
      <w:r>
        <w:rPr>
          <w:rFonts w:ascii="Arial" w:eastAsia="Arial" w:hAnsi="Arial" w:cs="Arial"/>
          <w:color w:val="000000"/>
          <w:sz w:val="24"/>
          <w:szCs w:val="24"/>
        </w:rPr>
        <w:t>enhanced member service</w:t>
      </w:r>
    </w:p>
    <w:p w14:paraId="29522392" w14:textId="77777777" w:rsidR="006C3CE9" w:rsidRDefault="008850BA">
      <w:pPr>
        <w:pStyle w:val="Normal1"/>
        <w:numPr>
          <w:ilvl w:val="1"/>
          <w:numId w:val="4"/>
        </w:numPr>
        <w:pBdr>
          <w:top w:val="nil"/>
          <w:left w:val="nil"/>
          <w:bottom w:val="nil"/>
          <w:right w:val="nil"/>
          <w:between w:val="nil"/>
        </w:pBdr>
        <w:spacing w:after="240"/>
        <w:ind w:left="1775" w:hanging="356"/>
        <w:jc w:val="both"/>
        <w:rPr>
          <w:color w:val="000000"/>
          <w:sz w:val="24"/>
          <w:szCs w:val="24"/>
        </w:rPr>
      </w:pPr>
      <w:r>
        <w:rPr>
          <w:rFonts w:ascii="Arial" w:eastAsia="Arial" w:hAnsi="Arial" w:cs="Arial"/>
          <w:color w:val="000000"/>
          <w:sz w:val="24"/>
          <w:szCs w:val="24"/>
        </w:rPr>
        <w:t>enhanced employer service</w:t>
      </w:r>
    </w:p>
    <w:p w14:paraId="4F2B4E10" w14:textId="77777777" w:rsidR="006C3CE9" w:rsidRDefault="008850BA">
      <w:pPr>
        <w:pStyle w:val="Normal1"/>
        <w:numPr>
          <w:ilvl w:val="1"/>
          <w:numId w:val="4"/>
        </w:numPr>
        <w:pBdr>
          <w:top w:val="nil"/>
          <w:left w:val="nil"/>
          <w:bottom w:val="nil"/>
          <w:right w:val="nil"/>
          <w:between w:val="nil"/>
        </w:pBdr>
        <w:spacing w:after="240"/>
        <w:ind w:left="1775" w:hanging="356"/>
        <w:jc w:val="both"/>
        <w:rPr>
          <w:color w:val="000000"/>
          <w:sz w:val="24"/>
          <w:szCs w:val="24"/>
        </w:rPr>
      </w:pPr>
      <w:r>
        <w:rPr>
          <w:rFonts w:ascii="Arial" w:eastAsia="Arial" w:hAnsi="Arial" w:cs="Arial"/>
          <w:color w:val="000000"/>
          <w:sz w:val="24"/>
          <w:szCs w:val="24"/>
        </w:rPr>
        <w:t>reduced cost to the taxpayer</w:t>
      </w:r>
    </w:p>
    <w:p w14:paraId="4B5E943A" w14:textId="77777777" w:rsidR="006C3CE9" w:rsidRDefault="008850BA">
      <w:pPr>
        <w:pStyle w:val="Normal1"/>
        <w:keepNext/>
        <w:spacing w:after="240"/>
        <w:ind w:right="72"/>
        <w:jc w:val="both"/>
        <w:rPr>
          <w:b/>
          <w:color w:val="000000"/>
          <w:sz w:val="24"/>
          <w:szCs w:val="24"/>
        </w:rPr>
      </w:pPr>
      <w:r>
        <w:rPr>
          <w:rFonts w:ascii="Arial" w:eastAsia="Arial" w:hAnsi="Arial" w:cs="Arial"/>
          <w:b/>
          <w:color w:val="000000"/>
          <w:sz w:val="24"/>
          <w:szCs w:val="24"/>
        </w:rPr>
        <w:t xml:space="preserve">Compliance </w:t>
      </w:r>
    </w:p>
    <w:p w14:paraId="06695BCD" w14:textId="77777777" w:rsidR="006C3CE9" w:rsidRDefault="008850BA">
      <w:pPr>
        <w:pStyle w:val="Normal1"/>
        <w:spacing w:after="240"/>
        <w:ind w:right="72"/>
        <w:jc w:val="both"/>
        <w:rPr>
          <w:color w:val="000000"/>
          <w:sz w:val="24"/>
          <w:szCs w:val="24"/>
        </w:rPr>
      </w:pPr>
      <w:r>
        <w:rPr>
          <w:rFonts w:ascii="Arial" w:eastAsia="Arial" w:hAnsi="Arial" w:cs="Arial"/>
          <w:color w:val="000000"/>
          <w:sz w:val="24"/>
          <w:szCs w:val="24"/>
        </w:rPr>
        <w:t xml:space="preserve">A partner who will act as an intelligent provider by: </w:t>
      </w:r>
    </w:p>
    <w:p w14:paraId="12F37C13"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lastRenderedPageBreak/>
        <w:t>providing a service that is compliant with the scheme rules and the relevant legislation, as amended from time to time</w:t>
      </w:r>
    </w:p>
    <w:p w14:paraId="21EBAC03" w14:textId="77777777" w:rsidR="006C3CE9" w:rsidRDefault="008850BA">
      <w:pPr>
        <w:pStyle w:val="Normal1"/>
        <w:numPr>
          <w:ilvl w:val="0"/>
          <w:numId w:val="3"/>
        </w:numPr>
        <w:spacing w:after="240"/>
        <w:ind w:left="1287"/>
        <w:jc w:val="both"/>
        <w:rPr>
          <w:sz w:val="24"/>
          <w:szCs w:val="24"/>
        </w:rPr>
      </w:pPr>
      <w:proofErr w:type="gramStart"/>
      <w:r>
        <w:rPr>
          <w:rFonts w:ascii="Arial" w:eastAsia="Arial" w:hAnsi="Arial" w:cs="Arial"/>
          <w:color w:val="000000"/>
          <w:sz w:val="24"/>
          <w:szCs w:val="24"/>
        </w:rPr>
        <w:t>working</w:t>
      </w:r>
      <w:proofErr w:type="gramEnd"/>
      <w:r>
        <w:rPr>
          <w:rFonts w:ascii="Arial" w:eastAsia="Arial" w:hAnsi="Arial" w:cs="Arial"/>
          <w:color w:val="000000"/>
          <w:sz w:val="24"/>
          <w:szCs w:val="24"/>
        </w:rPr>
        <w:t xml:space="preserve"> constructively and openly with Authority as scheme manager and the Civil Service Pensions Board. </w:t>
      </w:r>
    </w:p>
    <w:p w14:paraId="6932B106"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meeting the needs of third parties such as the Pensions Regulator and the Pensions Ombudsman</w:t>
      </w:r>
    </w:p>
    <w:p w14:paraId="58BE2D63"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co-operating with bodies appointed or used by the Authority for audit purposes e.g. the National Audit Office and the Government Internal Audit Agency</w:t>
      </w:r>
    </w:p>
    <w:p w14:paraId="12E0129F" w14:textId="77777777" w:rsidR="006C3CE9" w:rsidRDefault="008850BA">
      <w:pPr>
        <w:pStyle w:val="Normal1"/>
        <w:numPr>
          <w:ilvl w:val="0"/>
          <w:numId w:val="3"/>
        </w:numPr>
        <w:spacing w:after="240"/>
        <w:ind w:left="1287"/>
        <w:jc w:val="both"/>
        <w:rPr>
          <w:sz w:val="24"/>
          <w:szCs w:val="24"/>
        </w:rPr>
      </w:pPr>
      <w:proofErr w:type="gramStart"/>
      <w:r>
        <w:rPr>
          <w:rFonts w:ascii="Arial" w:eastAsia="Arial" w:hAnsi="Arial" w:cs="Arial"/>
          <w:color w:val="000000"/>
          <w:sz w:val="24"/>
          <w:szCs w:val="24"/>
        </w:rPr>
        <w:t>operating</w:t>
      </w:r>
      <w:proofErr w:type="gramEnd"/>
      <w:r>
        <w:rPr>
          <w:rFonts w:ascii="Arial" w:eastAsia="Arial" w:hAnsi="Arial" w:cs="Arial"/>
          <w:color w:val="000000"/>
          <w:sz w:val="24"/>
          <w:szCs w:val="24"/>
        </w:rPr>
        <w:t xml:space="preserve"> an effective internal audit programme with independent audit team. - complying with the requirements of the HM Treasury publication ‘Managing Public Money’ as it applies to the service and such other relevant guidance as HM Treasury or the Authority may issue from time to time</w:t>
      </w:r>
    </w:p>
    <w:p w14:paraId="39372791" w14:textId="77777777" w:rsidR="006C3CE9" w:rsidRDefault="008850BA">
      <w:pPr>
        <w:pStyle w:val="Normal1"/>
        <w:keepNext/>
        <w:spacing w:after="240"/>
        <w:ind w:right="72"/>
        <w:jc w:val="both"/>
        <w:rPr>
          <w:rFonts w:ascii="Arial" w:eastAsia="Arial" w:hAnsi="Arial" w:cs="Arial"/>
          <w:b/>
          <w:color w:val="000000"/>
          <w:sz w:val="24"/>
          <w:szCs w:val="24"/>
        </w:rPr>
      </w:pPr>
      <w:r>
        <w:rPr>
          <w:rFonts w:ascii="Arial" w:eastAsia="Arial" w:hAnsi="Arial" w:cs="Arial"/>
          <w:b/>
          <w:color w:val="000000"/>
          <w:sz w:val="24"/>
          <w:szCs w:val="24"/>
        </w:rPr>
        <w:t xml:space="preserve">Engagement </w:t>
      </w:r>
    </w:p>
    <w:p w14:paraId="13F5BC4C" w14:textId="77777777" w:rsidR="006C3CE9" w:rsidRDefault="008850BA">
      <w:pPr>
        <w:pStyle w:val="Normal1"/>
        <w:spacing w:after="240"/>
        <w:ind w:right="72"/>
        <w:jc w:val="both"/>
        <w:rPr>
          <w:color w:val="000000"/>
        </w:rPr>
      </w:pPr>
      <w:r>
        <w:rPr>
          <w:rFonts w:ascii="Arial" w:eastAsia="Arial" w:hAnsi="Arial" w:cs="Arial"/>
          <w:color w:val="000000"/>
          <w:sz w:val="24"/>
          <w:szCs w:val="24"/>
        </w:rPr>
        <w:t>A partner who will act as an intelligent provider by:</w:t>
      </w:r>
      <w:r>
        <w:rPr>
          <w:color w:val="000000"/>
        </w:rPr>
        <w:t xml:space="preserve"> </w:t>
      </w:r>
    </w:p>
    <w:p w14:paraId="5545622F"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engaging with members in an easy-to-use way that meets their needs and gives them what they want in as straightforward a way as possible</w:t>
      </w:r>
    </w:p>
    <w:p w14:paraId="61D49637"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providing self-service facilities that meet pensions industry standards and which reflect best practices in comparable service industries (e.g. banking)</w:t>
      </w:r>
    </w:p>
    <w:p w14:paraId="3393A076"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engaging with CSPS employers and their shared service providers in a way that reduces the burdens placed on them, with an emphasis of developing mutual understanding and support</w:t>
      </w:r>
    </w:p>
    <w:p w14:paraId="417F9899"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ensuring that the service does not operate a ‘one-size-fits-all’ approach, but instead acts in a way that meets the specialised requirements of customers, including those with aural, visual, or mental impairments</w:t>
      </w:r>
    </w:p>
    <w:p w14:paraId="570DF53B" w14:textId="77777777" w:rsidR="006C3CE9" w:rsidRDefault="008850BA">
      <w:pPr>
        <w:pStyle w:val="Normal1"/>
        <w:spacing w:after="240"/>
        <w:ind w:right="72"/>
        <w:jc w:val="both"/>
        <w:rPr>
          <w:b/>
          <w:color w:val="000000"/>
          <w:sz w:val="24"/>
          <w:szCs w:val="24"/>
        </w:rPr>
      </w:pPr>
      <w:r>
        <w:rPr>
          <w:rFonts w:ascii="Arial" w:eastAsia="Arial" w:hAnsi="Arial" w:cs="Arial"/>
          <w:b/>
          <w:color w:val="000000"/>
          <w:sz w:val="24"/>
          <w:szCs w:val="24"/>
        </w:rPr>
        <w:t xml:space="preserve">Security </w:t>
      </w:r>
    </w:p>
    <w:p w14:paraId="4D85B57E" w14:textId="77777777" w:rsidR="006C3CE9" w:rsidRDefault="008850BA">
      <w:pPr>
        <w:pStyle w:val="Normal1"/>
        <w:spacing w:after="240"/>
        <w:ind w:right="72"/>
        <w:jc w:val="both"/>
        <w:rPr>
          <w:color w:val="000000"/>
          <w:sz w:val="24"/>
          <w:szCs w:val="24"/>
        </w:rPr>
      </w:pPr>
      <w:r>
        <w:rPr>
          <w:rFonts w:ascii="Arial" w:eastAsia="Arial" w:hAnsi="Arial" w:cs="Arial"/>
          <w:color w:val="000000"/>
          <w:sz w:val="24"/>
          <w:szCs w:val="24"/>
        </w:rPr>
        <w:t xml:space="preserve">A partner who will act as an intelligent provider by: </w:t>
      </w:r>
    </w:p>
    <w:p w14:paraId="1D90938B"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treating all information about members and their beneficiaries as confidential</w:t>
      </w:r>
    </w:p>
    <w:p w14:paraId="4E78FD22"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safeguarding all data that it holds in a way that meets the requirements of the Authority for the protection of bulk Official (caveated Sensitive) Data</w:t>
      </w:r>
    </w:p>
    <w:p w14:paraId="1293DFB0"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ensuring that the service receives full accreditation from the Authority's Information Assurance Team by meeting all Authority security requirements for the protection of personal data</w:t>
      </w:r>
    </w:p>
    <w:p w14:paraId="4DF930B6"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ensuring that it does not hold any data for which it has no requirement</w:t>
      </w:r>
    </w:p>
    <w:p w14:paraId="6BCEA4C9"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lastRenderedPageBreak/>
        <w:t>having in place effective safeguards and contingency plans to ensure the ability to maintain operations under all circumstances</w:t>
      </w:r>
    </w:p>
    <w:p w14:paraId="719497B8"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ensuring that all staff involved in CSPS administration have the requisite government approved security clearances in place</w:t>
      </w:r>
    </w:p>
    <w:p w14:paraId="6C8D72D7" w14:textId="77777777" w:rsidR="006C3CE9" w:rsidRDefault="008850BA">
      <w:pPr>
        <w:pStyle w:val="Normal1"/>
        <w:numPr>
          <w:ilvl w:val="0"/>
          <w:numId w:val="3"/>
        </w:numPr>
        <w:spacing w:after="240"/>
        <w:ind w:left="1287"/>
        <w:jc w:val="both"/>
        <w:rPr>
          <w:sz w:val="24"/>
          <w:szCs w:val="24"/>
        </w:rPr>
      </w:pPr>
      <w:proofErr w:type="gramStart"/>
      <w:r>
        <w:rPr>
          <w:rFonts w:ascii="Arial" w:eastAsia="Arial" w:hAnsi="Arial" w:cs="Arial"/>
          <w:color w:val="000000"/>
          <w:sz w:val="24"/>
          <w:szCs w:val="24"/>
        </w:rPr>
        <w:t>acting</w:t>
      </w:r>
      <w:proofErr w:type="gramEnd"/>
      <w:r>
        <w:rPr>
          <w:rFonts w:ascii="Arial" w:eastAsia="Arial" w:hAnsi="Arial" w:cs="Arial"/>
          <w:color w:val="000000"/>
          <w:sz w:val="24"/>
          <w:szCs w:val="24"/>
        </w:rPr>
        <w:t xml:space="preserve"> at all times with regard to and accordance with relevant legislation such as the General Data Protection Regulation. </w:t>
      </w:r>
    </w:p>
    <w:p w14:paraId="097B8BD5"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maintaining and developing effective controls to prevent fraud and cyber security risks</w:t>
      </w:r>
    </w:p>
    <w:p w14:paraId="63B0293E" w14:textId="77777777" w:rsidR="006C3CE9" w:rsidRDefault="008850BA">
      <w:pPr>
        <w:pStyle w:val="Normal1"/>
        <w:keepNext/>
        <w:spacing w:after="240"/>
        <w:ind w:right="72"/>
        <w:jc w:val="both"/>
        <w:rPr>
          <w:b/>
          <w:color w:val="000000"/>
          <w:sz w:val="24"/>
          <w:szCs w:val="24"/>
        </w:rPr>
      </w:pPr>
      <w:r>
        <w:rPr>
          <w:rFonts w:ascii="Arial" w:eastAsia="Arial" w:hAnsi="Arial" w:cs="Arial"/>
          <w:b/>
          <w:color w:val="000000"/>
          <w:sz w:val="24"/>
          <w:szCs w:val="24"/>
        </w:rPr>
        <w:t xml:space="preserve">Management Information </w:t>
      </w:r>
    </w:p>
    <w:p w14:paraId="782B1892" w14:textId="77777777" w:rsidR="006C3CE9" w:rsidRDefault="008850BA">
      <w:pPr>
        <w:pStyle w:val="Normal1"/>
        <w:spacing w:after="240"/>
        <w:ind w:right="72"/>
        <w:jc w:val="both"/>
        <w:rPr>
          <w:color w:val="000000"/>
          <w:sz w:val="24"/>
          <w:szCs w:val="24"/>
        </w:rPr>
      </w:pPr>
      <w:r>
        <w:rPr>
          <w:rFonts w:ascii="Arial" w:eastAsia="Arial" w:hAnsi="Arial" w:cs="Arial"/>
          <w:color w:val="000000"/>
          <w:sz w:val="24"/>
          <w:szCs w:val="24"/>
        </w:rPr>
        <w:t xml:space="preserve">A partner who will act as an intelligent provider by: </w:t>
      </w:r>
    </w:p>
    <w:p w14:paraId="285A8C35"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producing accurate and timely reporting information to specified standards determined by the Authority on a monthly, quarterly, annual and ad hoc basis</w:t>
      </w:r>
    </w:p>
    <w:p w14:paraId="34C187C6"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producing meaningful management information that will help drive the Authority's behaviour and understanding as scheme manager</w:t>
      </w:r>
    </w:p>
    <w:p w14:paraId="7F828B72"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providing accurate and timely reporting to other bodies such as the Pensions Regulator and the Civil Service Pensions Board as required by legislation or in accordance with any agreement with the Authority</w:t>
      </w:r>
    </w:p>
    <w:p w14:paraId="4E2C906B"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horizon-scanning developments in the pensions industry and informing the Authority accordingly</w:t>
      </w:r>
    </w:p>
    <w:p w14:paraId="1EAD4A64" w14:textId="77777777" w:rsidR="006C3CE9" w:rsidRDefault="008850BA">
      <w:pPr>
        <w:pStyle w:val="Normal1"/>
        <w:keepNext/>
        <w:spacing w:after="240"/>
        <w:ind w:right="72"/>
        <w:jc w:val="both"/>
        <w:rPr>
          <w:b/>
          <w:color w:val="000000"/>
          <w:sz w:val="24"/>
          <w:szCs w:val="24"/>
        </w:rPr>
      </w:pPr>
      <w:r>
        <w:rPr>
          <w:rFonts w:ascii="Arial" w:eastAsia="Arial" w:hAnsi="Arial" w:cs="Arial"/>
          <w:b/>
          <w:color w:val="000000"/>
          <w:sz w:val="24"/>
          <w:szCs w:val="24"/>
        </w:rPr>
        <w:t xml:space="preserve">Financial and Other Requirements </w:t>
      </w:r>
    </w:p>
    <w:p w14:paraId="790B98EB" w14:textId="77777777" w:rsidR="006C3CE9" w:rsidRDefault="008850BA">
      <w:pPr>
        <w:pStyle w:val="Normal1"/>
        <w:spacing w:after="240"/>
        <w:ind w:right="72"/>
        <w:jc w:val="both"/>
        <w:rPr>
          <w:color w:val="000000"/>
          <w:sz w:val="24"/>
          <w:szCs w:val="24"/>
        </w:rPr>
      </w:pPr>
      <w:r>
        <w:rPr>
          <w:rFonts w:ascii="Arial" w:eastAsia="Arial" w:hAnsi="Arial" w:cs="Arial"/>
          <w:color w:val="000000"/>
          <w:sz w:val="24"/>
          <w:szCs w:val="24"/>
        </w:rPr>
        <w:t xml:space="preserve">A partner who will act as an intelligent provider by: </w:t>
      </w:r>
    </w:p>
    <w:p w14:paraId="4CF67139"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collecting and accounting for contributions from employers</w:t>
      </w:r>
    </w:p>
    <w:p w14:paraId="2562694E"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recording, maintaining and validating all data necessary to enable the Scheme Actuary to carry out a valuation of the CSPS in accordance with timescales set by HM Treasury</w:t>
      </w:r>
    </w:p>
    <w:p w14:paraId="4B6EA7C2"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maintaining all records necessary for annual auditing and accounting purposes, and for the production by the Authority of the CSPS’ annual Resource Accounts</w:t>
      </w:r>
    </w:p>
    <w:p w14:paraId="6F268FD2"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providing information to other Government departments and statutory authorities to meet the obligations imposed by these authorities on the CSPS</w:t>
      </w:r>
    </w:p>
    <w:p w14:paraId="35685D08"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attending and contributing proactively to meetings with key stakeholders, governance boards, working groups and other similar bodies</w:t>
      </w:r>
    </w:p>
    <w:p w14:paraId="7FC5CB8D"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t>providing secretariat and other administrative support for meetings with the Authority</w:t>
      </w:r>
    </w:p>
    <w:p w14:paraId="621EE3A5" w14:textId="77777777" w:rsidR="006C3CE9" w:rsidRDefault="008850BA">
      <w:pPr>
        <w:pStyle w:val="Normal1"/>
        <w:numPr>
          <w:ilvl w:val="0"/>
          <w:numId w:val="3"/>
        </w:numPr>
        <w:spacing w:after="240"/>
        <w:ind w:left="1287"/>
        <w:jc w:val="both"/>
        <w:rPr>
          <w:sz w:val="24"/>
          <w:szCs w:val="24"/>
        </w:rPr>
      </w:pPr>
      <w:r>
        <w:rPr>
          <w:rFonts w:ascii="Arial" w:eastAsia="Arial" w:hAnsi="Arial" w:cs="Arial"/>
          <w:color w:val="000000"/>
          <w:sz w:val="24"/>
          <w:szCs w:val="24"/>
        </w:rPr>
        <w:lastRenderedPageBreak/>
        <w:t xml:space="preserve">pro-actively delivering solutions rather than looking to the Authority for answers </w:t>
      </w:r>
    </w:p>
    <w:p w14:paraId="561021DB" w14:textId="2AFCFC6B"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We are happy to consider other innovative solutions, which successful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will have the opportunity to present during the Invitation </w:t>
      </w:r>
      <w:proofErr w:type="gramStart"/>
      <w:r>
        <w:rPr>
          <w:rFonts w:ascii="Arial" w:eastAsia="Arial" w:hAnsi="Arial" w:cs="Arial"/>
          <w:color w:val="000000"/>
          <w:sz w:val="24"/>
          <w:szCs w:val="24"/>
        </w:rPr>
        <w:t>To</w:t>
      </w:r>
      <w:proofErr w:type="gramEnd"/>
      <w:r>
        <w:rPr>
          <w:rFonts w:ascii="Arial" w:eastAsia="Arial" w:hAnsi="Arial" w:cs="Arial"/>
          <w:color w:val="000000"/>
          <w:sz w:val="24"/>
          <w:szCs w:val="24"/>
        </w:rPr>
        <w:t xml:space="preserve"> Tender and Competitive Dialogues stages. </w:t>
      </w:r>
    </w:p>
    <w:p w14:paraId="43EFC47F" w14:textId="77777777" w:rsidR="006C3CE9" w:rsidRDefault="008850BA">
      <w:pPr>
        <w:pStyle w:val="Heading3"/>
        <w:spacing w:before="0" w:after="240"/>
        <w:jc w:val="both"/>
        <w:rPr>
          <w:rFonts w:ascii="Arial" w:eastAsia="Arial" w:hAnsi="Arial" w:cs="Arial"/>
          <w:b/>
          <w:color w:val="000000"/>
        </w:rPr>
      </w:pPr>
      <w:bookmarkStart w:id="6" w:name="_Toc533068845"/>
      <w:r>
        <w:rPr>
          <w:rFonts w:ascii="Arial" w:eastAsia="Arial" w:hAnsi="Arial" w:cs="Arial"/>
          <w:b/>
          <w:color w:val="000000"/>
        </w:rPr>
        <w:t>4. PROPOSED PROCUREMENT PROCESS</w:t>
      </w:r>
      <w:bookmarkEnd w:id="6"/>
    </w:p>
    <w:p w14:paraId="6052123A" w14:textId="77777777" w:rsidR="006C3CE9" w:rsidRDefault="008850BA">
      <w:pPr>
        <w:pStyle w:val="Heading4"/>
        <w:spacing w:before="0" w:after="240"/>
        <w:jc w:val="both"/>
        <w:rPr>
          <w:rFonts w:ascii="Arial" w:eastAsia="Arial" w:hAnsi="Arial" w:cs="Arial"/>
          <w:i w:val="0"/>
          <w:color w:val="000000"/>
        </w:rPr>
      </w:pPr>
      <w:bookmarkStart w:id="7" w:name="_Toc533068846"/>
      <w:r>
        <w:rPr>
          <w:rFonts w:ascii="Arial" w:eastAsia="Arial" w:hAnsi="Arial" w:cs="Arial"/>
          <w:i w:val="0"/>
          <w:color w:val="000000"/>
        </w:rPr>
        <w:t>4.1 INDICATIVE TIMETABLE</w:t>
      </w:r>
      <w:bookmarkEnd w:id="7"/>
      <w:r>
        <w:rPr>
          <w:rFonts w:ascii="Arial" w:eastAsia="Arial" w:hAnsi="Arial" w:cs="Arial"/>
          <w:i w:val="0"/>
          <w:color w:val="000000"/>
        </w:rPr>
        <w:t xml:space="preserve"> </w:t>
      </w:r>
    </w:p>
    <w:p w14:paraId="47922FF5" w14:textId="45597666"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competitive dialogue process will be used for this procurement. The indicative timeline for the main stages of the process are set out below; whilst the Authority intends to adhere to this timeline, the Authority reserves the right to vary the timetable at any time during the procurement.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will be informed if changes to this timetable are made.</w:t>
      </w:r>
    </w:p>
    <w:p w14:paraId="4E46B1A1" w14:textId="2931357D"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All responses for each of the stages must be received by the Authority on or before the deadlines specified below, unless advised otherwise in subsequent communications issued by the Authority. Responses received after the stated deadline may be rejected by the Authority, to ensure that all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are treated fairly. The decision whether to reject a response received after the deadline is made entirely at the Authority’s discretion.</w:t>
      </w:r>
    </w:p>
    <w:p w14:paraId="09194F59"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All times and dates stated below are GMT (note - not “Local time”).</w:t>
      </w:r>
    </w:p>
    <w:p w14:paraId="2B05C55A" w14:textId="77777777" w:rsidR="006C3CE9" w:rsidRDefault="008850BA">
      <w:pPr>
        <w:pStyle w:val="Normal1"/>
        <w:spacing w:after="240"/>
        <w:jc w:val="both"/>
        <w:rPr>
          <w:rFonts w:ascii="Arial" w:eastAsia="Arial" w:hAnsi="Arial" w:cs="Arial"/>
          <w:b/>
          <w:color w:val="000000"/>
          <w:sz w:val="24"/>
          <w:szCs w:val="24"/>
        </w:rPr>
      </w:pPr>
      <w:r>
        <w:rPr>
          <w:rFonts w:ascii="Arial" w:eastAsia="Arial" w:hAnsi="Arial" w:cs="Arial"/>
          <w:b/>
          <w:color w:val="000000"/>
          <w:sz w:val="24"/>
          <w:szCs w:val="24"/>
        </w:rPr>
        <w:t>OJEU NOTICE &amp; SQ</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2"/>
      </w:tblGrid>
      <w:tr w:rsidR="006C3CE9" w14:paraId="73645AC1" w14:textId="77777777">
        <w:tc>
          <w:tcPr>
            <w:tcW w:w="6374" w:type="dxa"/>
            <w:tcBorders>
              <w:bottom w:val="single" w:sz="4" w:space="0" w:color="000000"/>
            </w:tcBorders>
            <w:shd w:val="clear" w:color="auto" w:fill="DBE5F1"/>
          </w:tcPr>
          <w:p w14:paraId="1770D421"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b/>
              </w:rPr>
              <w:t>Activity</w:t>
            </w:r>
          </w:p>
        </w:tc>
        <w:tc>
          <w:tcPr>
            <w:tcW w:w="2642" w:type="dxa"/>
            <w:tcBorders>
              <w:bottom w:val="single" w:sz="4" w:space="0" w:color="000000"/>
            </w:tcBorders>
            <w:shd w:val="clear" w:color="auto" w:fill="DBE5F1"/>
            <w:vAlign w:val="center"/>
          </w:tcPr>
          <w:p w14:paraId="5E86C5EF"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b/>
              </w:rPr>
              <w:t>Planned date(s)</w:t>
            </w:r>
          </w:p>
        </w:tc>
      </w:tr>
      <w:tr w:rsidR="006C3CE9" w14:paraId="63961A03" w14:textId="77777777">
        <w:tc>
          <w:tcPr>
            <w:tcW w:w="6374" w:type="dxa"/>
            <w:tcBorders>
              <w:top w:val="single" w:sz="4" w:space="0" w:color="000000"/>
            </w:tcBorders>
          </w:tcPr>
          <w:p w14:paraId="6BFAA4C2"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Publication of the OJEU Notice</w:t>
            </w:r>
          </w:p>
        </w:tc>
        <w:tc>
          <w:tcPr>
            <w:tcW w:w="2642" w:type="dxa"/>
            <w:tcBorders>
              <w:top w:val="single" w:sz="4" w:space="0" w:color="000000"/>
            </w:tcBorders>
            <w:vAlign w:val="center"/>
          </w:tcPr>
          <w:p w14:paraId="098F900E" w14:textId="77777777" w:rsidR="006C3CE9" w:rsidRDefault="008850BA">
            <w:pPr>
              <w:pStyle w:val="Normal1"/>
              <w:spacing w:before="78" w:line="254" w:lineRule="auto"/>
              <w:ind w:left="108" w:right="108"/>
              <w:jc w:val="both"/>
              <w:rPr>
                <w:rFonts w:ascii="Arial" w:eastAsia="Arial" w:hAnsi="Arial" w:cs="Arial"/>
              </w:rPr>
            </w:pPr>
            <w:r w:rsidRPr="00A90D86">
              <w:rPr>
                <w:rFonts w:ascii="Arial" w:eastAsia="Arial" w:hAnsi="Arial" w:cs="Arial"/>
              </w:rPr>
              <w:t>21</w:t>
            </w:r>
            <w:r>
              <w:rPr>
                <w:rFonts w:ascii="Arial" w:eastAsia="Arial" w:hAnsi="Arial" w:cs="Arial"/>
              </w:rPr>
              <w:t>/12/2018</w:t>
            </w:r>
          </w:p>
        </w:tc>
      </w:tr>
      <w:tr w:rsidR="006C3CE9" w14:paraId="68F9A384" w14:textId="77777777">
        <w:tc>
          <w:tcPr>
            <w:tcW w:w="6374" w:type="dxa"/>
          </w:tcPr>
          <w:p w14:paraId="1070D662"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 xml:space="preserve">Publication date of the SQ and supporting pack </w:t>
            </w:r>
          </w:p>
        </w:tc>
        <w:tc>
          <w:tcPr>
            <w:tcW w:w="2642" w:type="dxa"/>
            <w:vAlign w:val="center"/>
          </w:tcPr>
          <w:p w14:paraId="53DD39A7"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24/12/2018</w:t>
            </w:r>
          </w:p>
        </w:tc>
      </w:tr>
      <w:tr w:rsidR="006C3CE9" w14:paraId="1ABF4D0F" w14:textId="77777777">
        <w:tc>
          <w:tcPr>
            <w:tcW w:w="6374" w:type="dxa"/>
          </w:tcPr>
          <w:p w14:paraId="4C02F5B7" w14:textId="59520AE0"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 xml:space="preserve">Final date for SQ clarification questions from </w:t>
            </w:r>
            <w:r w:rsidR="00D47F48">
              <w:rPr>
                <w:rFonts w:ascii="Arial" w:eastAsia="Arial" w:hAnsi="Arial" w:cs="Arial"/>
              </w:rPr>
              <w:t>Potential Bidders</w:t>
            </w:r>
          </w:p>
        </w:tc>
        <w:tc>
          <w:tcPr>
            <w:tcW w:w="2642" w:type="dxa"/>
            <w:vAlign w:val="center"/>
          </w:tcPr>
          <w:p w14:paraId="28994380"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17:00 on 14/01/2019</w:t>
            </w:r>
          </w:p>
        </w:tc>
      </w:tr>
      <w:tr w:rsidR="006C3CE9" w14:paraId="625E9ED3" w14:textId="77777777">
        <w:tc>
          <w:tcPr>
            <w:tcW w:w="6374" w:type="dxa"/>
          </w:tcPr>
          <w:p w14:paraId="37FBFDD5"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Clarification responses from Authority to SQ clarification questions</w:t>
            </w:r>
          </w:p>
        </w:tc>
        <w:tc>
          <w:tcPr>
            <w:tcW w:w="2642" w:type="dxa"/>
            <w:vAlign w:val="center"/>
          </w:tcPr>
          <w:p w14:paraId="5945B5DC"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17:00 on 16/01/2019</w:t>
            </w:r>
          </w:p>
        </w:tc>
      </w:tr>
      <w:tr w:rsidR="006C3CE9" w14:paraId="5265E20E" w14:textId="77777777">
        <w:tc>
          <w:tcPr>
            <w:tcW w:w="6374" w:type="dxa"/>
          </w:tcPr>
          <w:p w14:paraId="62FFDFB0"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Final date for SQ submissions</w:t>
            </w:r>
          </w:p>
        </w:tc>
        <w:tc>
          <w:tcPr>
            <w:tcW w:w="2642" w:type="dxa"/>
            <w:vAlign w:val="center"/>
          </w:tcPr>
          <w:p w14:paraId="0D355761"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15:00 on 25/01/2019</w:t>
            </w:r>
          </w:p>
        </w:tc>
      </w:tr>
      <w:tr w:rsidR="006C3CE9" w14:paraId="29A9A628" w14:textId="77777777">
        <w:tc>
          <w:tcPr>
            <w:tcW w:w="6374" w:type="dxa"/>
          </w:tcPr>
          <w:p w14:paraId="299E074F"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 xml:space="preserve">Confirmation of success/failure to pass SQ stage </w:t>
            </w:r>
          </w:p>
        </w:tc>
        <w:tc>
          <w:tcPr>
            <w:tcW w:w="2642" w:type="dxa"/>
            <w:vAlign w:val="center"/>
          </w:tcPr>
          <w:p w14:paraId="2E8B1B78"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08/02/2019</w:t>
            </w:r>
          </w:p>
        </w:tc>
      </w:tr>
    </w:tbl>
    <w:p w14:paraId="6C582505" w14:textId="77777777" w:rsidR="006C3CE9" w:rsidRDefault="006C3CE9">
      <w:pPr>
        <w:pStyle w:val="Normal1"/>
        <w:jc w:val="both"/>
        <w:rPr>
          <w:color w:val="000000"/>
        </w:rPr>
      </w:pPr>
    </w:p>
    <w:p w14:paraId="0C911E84" w14:textId="77777777" w:rsidR="006C3CE9" w:rsidRDefault="008850BA">
      <w:pPr>
        <w:pStyle w:val="Normal1"/>
        <w:keepNext/>
        <w:pBdr>
          <w:top w:val="nil"/>
          <w:left w:val="nil"/>
          <w:bottom w:val="nil"/>
          <w:right w:val="nil"/>
          <w:between w:val="nil"/>
        </w:pBdr>
        <w:tabs>
          <w:tab w:val="left" w:pos="1134"/>
        </w:tabs>
        <w:spacing w:after="240"/>
        <w:jc w:val="both"/>
        <w:rPr>
          <w:rFonts w:ascii="Arial" w:eastAsia="Arial" w:hAnsi="Arial" w:cs="Arial"/>
          <w:b/>
          <w:color w:val="000000"/>
          <w:sz w:val="24"/>
          <w:szCs w:val="24"/>
          <w:u w:val="single"/>
        </w:rPr>
      </w:pPr>
      <w:r>
        <w:rPr>
          <w:rFonts w:ascii="Arial" w:eastAsia="Arial" w:hAnsi="Arial" w:cs="Arial"/>
          <w:b/>
          <w:color w:val="000000"/>
          <w:sz w:val="24"/>
          <w:szCs w:val="24"/>
          <w:u w:val="single"/>
        </w:rPr>
        <w:t>Invitation to Tender (ITT) &amp; Invitation to Participated in Dialogues (ITPD)</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2"/>
      </w:tblGrid>
      <w:tr w:rsidR="006C3CE9" w14:paraId="77CCB69D" w14:textId="77777777">
        <w:tc>
          <w:tcPr>
            <w:tcW w:w="6374" w:type="dxa"/>
            <w:tcBorders>
              <w:bottom w:val="single" w:sz="4" w:space="0" w:color="000000"/>
            </w:tcBorders>
            <w:shd w:val="clear" w:color="auto" w:fill="DBE5F1"/>
          </w:tcPr>
          <w:p w14:paraId="364C5E6F" w14:textId="77777777" w:rsidR="006C3CE9" w:rsidRDefault="008850BA">
            <w:pPr>
              <w:pStyle w:val="Normal1"/>
              <w:keepNext/>
              <w:spacing w:before="78" w:line="254" w:lineRule="auto"/>
              <w:ind w:left="108" w:right="108"/>
              <w:jc w:val="both"/>
              <w:rPr>
                <w:rFonts w:ascii="Arial" w:eastAsia="Arial" w:hAnsi="Arial" w:cs="Arial"/>
              </w:rPr>
            </w:pPr>
            <w:r>
              <w:rPr>
                <w:rFonts w:ascii="Arial" w:eastAsia="Arial" w:hAnsi="Arial" w:cs="Arial"/>
                <w:b/>
              </w:rPr>
              <w:t>Activity</w:t>
            </w:r>
          </w:p>
        </w:tc>
        <w:tc>
          <w:tcPr>
            <w:tcW w:w="2642" w:type="dxa"/>
            <w:tcBorders>
              <w:bottom w:val="single" w:sz="4" w:space="0" w:color="000000"/>
            </w:tcBorders>
            <w:shd w:val="clear" w:color="auto" w:fill="DBE5F1"/>
            <w:vAlign w:val="center"/>
          </w:tcPr>
          <w:p w14:paraId="2ACF8FCF" w14:textId="77777777" w:rsidR="006C3CE9" w:rsidRDefault="008850BA">
            <w:pPr>
              <w:pStyle w:val="Normal1"/>
              <w:keepNext/>
              <w:spacing w:before="78" w:line="254" w:lineRule="auto"/>
              <w:ind w:left="108" w:right="108"/>
              <w:jc w:val="both"/>
              <w:rPr>
                <w:rFonts w:ascii="Arial" w:eastAsia="Arial" w:hAnsi="Arial" w:cs="Arial"/>
              </w:rPr>
            </w:pPr>
            <w:r>
              <w:rPr>
                <w:rFonts w:ascii="Arial" w:eastAsia="Arial" w:hAnsi="Arial" w:cs="Arial"/>
                <w:b/>
              </w:rPr>
              <w:t>Planned date(s)</w:t>
            </w:r>
          </w:p>
        </w:tc>
      </w:tr>
      <w:tr w:rsidR="006C3CE9" w14:paraId="10687B96" w14:textId="77777777">
        <w:tc>
          <w:tcPr>
            <w:tcW w:w="6374" w:type="dxa"/>
          </w:tcPr>
          <w:p w14:paraId="03868AA4"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Publication of ITT</w:t>
            </w:r>
          </w:p>
        </w:tc>
        <w:tc>
          <w:tcPr>
            <w:tcW w:w="2642" w:type="dxa"/>
            <w:vAlign w:val="center"/>
          </w:tcPr>
          <w:p w14:paraId="5B8174BE"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01/03/2019</w:t>
            </w:r>
          </w:p>
        </w:tc>
      </w:tr>
      <w:tr w:rsidR="006C3CE9" w14:paraId="6902F2B0" w14:textId="77777777">
        <w:tc>
          <w:tcPr>
            <w:tcW w:w="6374" w:type="dxa"/>
          </w:tcPr>
          <w:p w14:paraId="1359E5D0"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 xml:space="preserve">Final date for ITT responses </w:t>
            </w:r>
          </w:p>
        </w:tc>
        <w:tc>
          <w:tcPr>
            <w:tcW w:w="2642" w:type="dxa"/>
            <w:vAlign w:val="center"/>
          </w:tcPr>
          <w:p w14:paraId="7AD21880"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15:00 on 04/04/2019</w:t>
            </w:r>
          </w:p>
        </w:tc>
      </w:tr>
      <w:tr w:rsidR="006C3CE9" w14:paraId="3BCCE773" w14:textId="77777777">
        <w:tc>
          <w:tcPr>
            <w:tcW w:w="6374" w:type="dxa"/>
          </w:tcPr>
          <w:p w14:paraId="31254472"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 xml:space="preserve">Evaluation of ITT responses completed </w:t>
            </w:r>
          </w:p>
        </w:tc>
        <w:tc>
          <w:tcPr>
            <w:tcW w:w="2642" w:type="dxa"/>
            <w:vAlign w:val="center"/>
          </w:tcPr>
          <w:p w14:paraId="7DBFA293"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03/05/2019</w:t>
            </w:r>
          </w:p>
        </w:tc>
      </w:tr>
      <w:tr w:rsidR="006C3CE9" w14:paraId="37B69556" w14:textId="77777777">
        <w:tc>
          <w:tcPr>
            <w:tcW w:w="6374" w:type="dxa"/>
          </w:tcPr>
          <w:p w14:paraId="3ED7FEF8"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 xml:space="preserve">Publication of ITPD   </w:t>
            </w:r>
          </w:p>
        </w:tc>
        <w:tc>
          <w:tcPr>
            <w:tcW w:w="2642" w:type="dxa"/>
            <w:vAlign w:val="center"/>
          </w:tcPr>
          <w:p w14:paraId="7F5D41E9"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08/05/2019</w:t>
            </w:r>
          </w:p>
        </w:tc>
      </w:tr>
      <w:tr w:rsidR="006C3CE9" w14:paraId="6AA93960" w14:textId="77777777">
        <w:tc>
          <w:tcPr>
            <w:tcW w:w="6374" w:type="dxa"/>
          </w:tcPr>
          <w:p w14:paraId="728BCA4C"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Final date for ITPD responses</w:t>
            </w:r>
          </w:p>
        </w:tc>
        <w:tc>
          <w:tcPr>
            <w:tcW w:w="2642" w:type="dxa"/>
            <w:vAlign w:val="center"/>
          </w:tcPr>
          <w:p w14:paraId="77DCBF71"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15:00 on 22/05/2019</w:t>
            </w:r>
          </w:p>
        </w:tc>
      </w:tr>
      <w:tr w:rsidR="006C3CE9" w14:paraId="32A00598" w14:textId="77777777">
        <w:tc>
          <w:tcPr>
            <w:tcW w:w="6374" w:type="dxa"/>
          </w:tcPr>
          <w:p w14:paraId="790B044B" w14:textId="06C5527C"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 xml:space="preserve">Issue of invitation to successful </w:t>
            </w:r>
            <w:r w:rsidR="00D47F48">
              <w:rPr>
                <w:rFonts w:ascii="Arial" w:eastAsia="Arial" w:hAnsi="Arial" w:cs="Arial"/>
              </w:rPr>
              <w:t>Potential Bidders</w:t>
            </w:r>
            <w:r>
              <w:rPr>
                <w:rFonts w:ascii="Arial" w:eastAsia="Arial" w:hAnsi="Arial" w:cs="Arial"/>
              </w:rPr>
              <w:t xml:space="preserve"> to participate in competitive dialogue sessions </w:t>
            </w:r>
          </w:p>
        </w:tc>
        <w:tc>
          <w:tcPr>
            <w:tcW w:w="2642" w:type="dxa"/>
            <w:vAlign w:val="center"/>
          </w:tcPr>
          <w:p w14:paraId="36B0AB15"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05/06/2019</w:t>
            </w:r>
          </w:p>
        </w:tc>
      </w:tr>
    </w:tbl>
    <w:p w14:paraId="40035E34" w14:textId="77777777" w:rsidR="006C3CE9" w:rsidRDefault="006C3CE9">
      <w:pPr>
        <w:pStyle w:val="Normal1"/>
        <w:jc w:val="both"/>
        <w:rPr>
          <w:color w:val="000000"/>
        </w:rPr>
      </w:pPr>
      <w:bookmarkStart w:id="8" w:name="_2et92p0" w:colFirst="0" w:colLast="0"/>
      <w:bookmarkEnd w:id="8"/>
    </w:p>
    <w:p w14:paraId="5C41BD64" w14:textId="77777777" w:rsidR="006C3CE9" w:rsidRDefault="008850BA">
      <w:pPr>
        <w:pStyle w:val="Normal1"/>
        <w:keepNext/>
        <w:pBdr>
          <w:top w:val="nil"/>
          <w:left w:val="nil"/>
          <w:bottom w:val="nil"/>
          <w:right w:val="nil"/>
          <w:between w:val="nil"/>
        </w:pBdr>
        <w:spacing w:after="240"/>
        <w:jc w:val="both"/>
        <w:rPr>
          <w:rFonts w:ascii="Arial" w:eastAsia="Arial" w:hAnsi="Arial" w:cs="Arial"/>
          <w:b/>
          <w:color w:val="000000"/>
          <w:sz w:val="24"/>
          <w:szCs w:val="24"/>
          <w:u w:val="single"/>
        </w:rPr>
      </w:pPr>
      <w:r>
        <w:rPr>
          <w:rFonts w:ascii="Arial" w:eastAsia="Arial" w:hAnsi="Arial" w:cs="Arial"/>
          <w:b/>
          <w:color w:val="000000"/>
          <w:sz w:val="24"/>
          <w:szCs w:val="24"/>
          <w:u w:val="single"/>
        </w:rPr>
        <w:lastRenderedPageBreak/>
        <w:t>Competitive Dialogue</w:t>
      </w:r>
    </w:p>
    <w:tbl>
      <w:tblPr>
        <w:tblStyle w:val="a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2"/>
      </w:tblGrid>
      <w:tr w:rsidR="006C3CE9" w14:paraId="1AE9852A" w14:textId="77777777">
        <w:tc>
          <w:tcPr>
            <w:tcW w:w="6374" w:type="dxa"/>
            <w:tcBorders>
              <w:bottom w:val="single" w:sz="4" w:space="0" w:color="000000"/>
            </w:tcBorders>
            <w:shd w:val="clear" w:color="auto" w:fill="DBE5F1"/>
          </w:tcPr>
          <w:p w14:paraId="610B90A0" w14:textId="77777777" w:rsidR="006C3CE9" w:rsidRDefault="008850BA">
            <w:pPr>
              <w:pStyle w:val="Normal1"/>
              <w:keepNext/>
              <w:spacing w:before="78" w:line="254" w:lineRule="auto"/>
              <w:ind w:left="108" w:right="108"/>
              <w:jc w:val="both"/>
              <w:rPr>
                <w:rFonts w:ascii="Arial" w:eastAsia="Arial" w:hAnsi="Arial" w:cs="Arial"/>
              </w:rPr>
            </w:pPr>
            <w:r>
              <w:rPr>
                <w:rFonts w:ascii="Arial" w:eastAsia="Arial" w:hAnsi="Arial" w:cs="Arial"/>
                <w:b/>
              </w:rPr>
              <w:t>Activity</w:t>
            </w:r>
          </w:p>
        </w:tc>
        <w:tc>
          <w:tcPr>
            <w:tcW w:w="2642" w:type="dxa"/>
            <w:tcBorders>
              <w:bottom w:val="single" w:sz="4" w:space="0" w:color="000000"/>
            </w:tcBorders>
            <w:shd w:val="clear" w:color="auto" w:fill="DBE5F1"/>
            <w:vAlign w:val="center"/>
          </w:tcPr>
          <w:p w14:paraId="13B8282A" w14:textId="77777777" w:rsidR="006C3CE9" w:rsidRDefault="008850BA">
            <w:pPr>
              <w:pStyle w:val="Normal1"/>
              <w:keepNext/>
              <w:spacing w:before="78" w:line="254" w:lineRule="auto"/>
              <w:ind w:left="108" w:right="108"/>
              <w:jc w:val="both"/>
              <w:rPr>
                <w:rFonts w:ascii="Arial" w:eastAsia="Arial" w:hAnsi="Arial" w:cs="Arial"/>
              </w:rPr>
            </w:pPr>
            <w:r>
              <w:rPr>
                <w:rFonts w:ascii="Arial" w:eastAsia="Arial" w:hAnsi="Arial" w:cs="Arial"/>
                <w:b/>
              </w:rPr>
              <w:t>Planned date(s)</w:t>
            </w:r>
          </w:p>
        </w:tc>
      </w:tr>
      <w:tr w:rsidR="006C3CE9" w14:paraId="65B12903" w14:textId="77777777">
        <w:tc>
          <w:tcPr>
            <w:tcW w:w="6374" w:type="dxa"/>
          </w:tcPr>
          <w:p w14:paraId="0BA64EB0" w14:textId="77777777" w:rsidR="006C3CE9" w:rsidRDefault="008850BA">
            <w:pPr>
              <w:pStyle w:val="Normal1"/>
              <w:keepNext/>
              <w:spacing w:before="78" w:line="254" w:lineRule="auto"/>
              <w:ind w:left="108" w:right="108"/>
              <w:jc w:val="both"/>
              <w:rPr>
                <w:rFonts w:ascii="Arial" w:eastAsia="Arial" w:hAnsi="Arial" w:cs="Arial"/>
              </w:rPr>
            </w:pPr>
            <w:r>
              <w:rPr>
                <w:rFonts w:ascii="Arial" w:eastAsia="Arial" w:hAnsi="Arial" w:cs="Arial"/>
              </w:rPr>
              <w:t xml:space="preserve">Competitive dialogue </w:t>
            </w:r>
          </w:p>
        </w:tc>
        <w:tc>
          <w:tcPr>
            <w:tcW w:w="2642" w:type="dxa"/>
            <w:vAlign w:val="center"/>
          </w:tcPr>
          <w:p w14:paraId="062572C8" w14:textId="2E2FE5C2" w:rsidR="006C3CE9" w:rsidRDefault="008850BA">
            <w:pPr>
              <w:pStyle w:val="Normal1"/>
              <w:keepNext/>
              <w:spacing w:before="78" w:line="254" w:lineRule="auto"/>
              <w:ind w:left="108" w:right="108"/>
              <w:jc w:val="both"/>
              <w:rPr>
                <w:rFonts w:ascii="Arial" w:eastAsia="Arial" w:hAnsi="Arial" w:cs="Arial"/>
              </w:rPr>
            </w:pPr>
            <w:r>
              <w:rPr>
                <w:rFonts w:ascii="Arial" w:eastAsia="Arial" w:hAnsi="Arial" w:cs="Arial"/>
              </w:rPr>
              <w:t>01</w:t>
            </w:r>
            <w:r w:rsidR="007E0CE7">
              <w:rPr>
                <w:rFonts w:ascii="Arial" w:eastAsia="Arial" w:hAnsi="Arial" w:cs="Arial"/>
              </w:rPr>
              <w:t>/0</w:t>
            </w:r>
            <w:r>
              <w:rPr>
                <w:rFonts w:ascii="Arial" w:eastAsia="Arial" w:hAnsi="Arial" w:cs="Arial"/>
              </w:rPr>
              <w:t>7/2019 – 30/08/2019</w:t>
            </w:r>
          </w:p>
        </w:tc>
      </w:tr>
    </w:tbl>
    <w:p w14:paraId="587F476F" w14:textId="77777777" w:rsidR="006C3CE9" w:rsidRDefault="006C3CE9">
      <w:pPr>
        <w:pStyle w:val="Normal1"/>
        <w:jc w:val="both"/>
        <w:rPr>
          <w:color w:val="000000"/>
        </w:rPr>
      </w:pPr>
    </w:p>
    <w:p w14:paraId="25E44405" w14:textId="77777777" w:rsidR="006C3CE9" w:rsidRDefault="008850BA">
      <w:pPr>
        <w:pStyle w:val="Normal1"/>
        <w:pBdr>
          <w:top w:val="nil"/>
          <w:left w:val="nil"/>
          <w:bottom w:val="nil"/>
          <w:right w:val="nil"/>
          <w:between w:val="nil"/>
        </w:pBdr>
        <w:spacing w:after="240"/>
        <w:jc w:val="both"/>
        <w:rPr>
          <w:rFonts w:ascii="Arial" w:eastAsia="Arial" w:hAnsi="Arial" w:cs="Arial"/>
          <w:b/>
          <w:color w:val="000000"/>
          <w:sz w:val="24"/>
          <w:szCs w:val="24"/>
          <w:u w:val="single"/>
        </w:rPr>
      </w:pPr>
      <w:r>
        <w:rPr>
          <w:rFonts w:ascii="Arial" w:eastAsia="Arial" w:hAnsi="Arial" w:cs="Arial"/>
          <w:b/>
          <w:color w:val="000000"/>
          <w:sz w:val="24"/>
          <w:szCs w:val="24"/>
          <w:u w:val="single"/>
        </w:rPr>
        <w:t>Submission of Final Tenders &amp; Contract Award</w:t>
      </w:r>
    </w:p>
    <w:tbl>
      <w:tblPr>
        <w:tblStyle w:val="a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2"/>
      </w:tblGrid>
      <w:tr w:rsidR="006C3CE9" w14:paraId="005446E9" w14:textId="77777777">
        <w:tc>
          <w:tcPr>
            <w:tcW w:w="6374" w:type="dxa"/>
            <w:tcBorders>
              <w:bottom w:val="single" w:sz="4" w:space="0" w:color="000000"/>
            </w:tcBorders>
            <w:shd w:val="clear" w:color="auto" w:fill="DBE5F1"/>
          </w:tcPr>
          <w:p w14:paraId="41122D5D"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b/>
              </w:rPr>
              <w:t>Activity</w:t>
            </w:r>
          </w:p>
        </w:tc>
        <w:tc>
          <w:tcPr>
            <w:tcW w:w="2642" w:type="dxa"/>
            <w:tcBorders>
              <w:bottom w:val="single" w:sz="4" w:space="0" w:color="000000"/>
            </w:tcBorders>
            <w:shd w:val="clear" w:color="auto" w:fill="DBE5F1"/>
            <w:vAlign w:val="center"/>
          </w:tcPr>
          <w:p w14:paraId="71630F71"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b/>
              </w:rPr>
              <w:t>Planned date(s)</w:t>
            </w:r>
          </w:p>
        </w:tc>
      </w:tr>
      <w:tr w:rsidR="006C3CE9" w14:paraId="74E77706" w14:textId="77777777">
        <w:tc>
          <w:tcPr>
            <w:tcW w:w="6374" w:type="dxa"/>
          </w:tcPr>
          <w:p w14:paraId="3C30F8A4"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 xml:space="preserve">Submission of final tenders </w:t>
            </w:r>
          </w:p>
        </w:tc>
        <w:tc>
          <w:tcPr>
            <w:tcW w:w="2642" w:type="dxa"/>
          </w:tcPr>
          <w:p w14:paraId="3DBF748F"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20/09/2018</w:t>
            </w:r>
          </w:p>
        </w:tc>
      </w:tr>
      <w:tr w:rsidR="006C3CE9" w14:paraId="291D2509" w14:textId="77777777">
        <w:tc>
          <w:tcPr>
            <w:tcW w:w="6374" w:type="dxa"/>
          </w:tcPr>
          <w:p w14:paraId="6ECE22A7" w14:textId="7E139C54" w:rsidR="006C3CE9" w:rsidRDefault="008850BA" w:rsidP="00CE620E">
            <w:pPr>
              <w:pStyle w:val="Normal1"/>
              <w:spacing w:before="78" w:line="254" w:lineRule="auto"/>
              <w:ind w:left="108" w:right="108"/>
              <w:jc w:val="both"/>
              <w:rPr>
                <w:rFonts w:ascii="Arial" w:eastAsia="Arial" w:hAnsi="Arial" w:cs="Arial"/>
              </w:rPr>
            </w:pPr>
            <w:r>
              <w:rPr>
                <w:rFonts w:ascii="Arial" w:eastAsia="Arial" w:hAnsi="Arial" w:cs="Arial"/>
              </w:rPr>
              <w:t xml:space="preserve">Issue of intention to award notice to successful Potential </w:t>
            </w:r>
            <w:r w:rsidR="00CE620E">
              <w:rPr>
                <w:rFonts w:ascii="Arial" w:eastAsia="Arial" w:hAnsi="Arial" w:cs="Arial"/>
              </w:rPr>
              <w:t>Bidder</w:t>
            </w:r>
          </w:p>
        </w:tc>
        <w:tc>
          <w:tcPr>
            <w:tcW w:w="2642" w:type="dxa"/>
          </w:tcPr>
          <w:p w14:paraId="75145C12"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11/10/2019</w:t>
            </w:r>
            <w:bookmarkStart w:id="9" w:name="_GoBack"/>
            <w:bookmarkEnd w:id="9"/>
          </w:p>
        </w:tc>
      </w:tr>
      <w:tr w:rsidR="006C3CE9" w14:paraId="25AE003C" w14:textId="77777777">
        <w:tc>
          <w:tcPr>
            <w:tcW w:w="6374" w:type="dxa"/>
          </w:tcPr>
          <w:p w14:paraId="5E22A5E8"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End of mandatory standstill period</w:t>
            </w:r>
          </w:p>
        </w:tc>
        <w:tc>
          <w:tcPr>
            <w:tcW w:w="2642" w:type="dxa"/>
          </w:tcPr>
          <w:p w14:paraId="724394BD"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Midnight at the end of 22/11/2019</w:t>
            </w:r>
          </w:p>
        </w:tc>
      </w:tr>
      <w:tr w:rsidR="006C3CE9" w14:paraId="52D72292" w14:textId="77777777">
        <w:trPr>
          <w:trHeight w:val="240"/>
        </w:trPr>
        <w:tc>
          <w:tcPr>
            <w:tcW w:w="6374" w:type="dxa"/>
          </w:tcPr>
          <w:p w14:paraId="1F4BD517"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Award of Contract</w:t>
            </w:r>
          </w:p>
        </w:tc>
        <w:tc>
          <w:tcPr>
            <w:tcW w:w="2642" w:type="dxa"/>
          </w:tcPr>
          <w:p w14:paraId="3B3A9E49"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02/12/2019</w:t>
            </w:r>
          </w:p>
        </w:tc>
      </w:tr>
      <w:tr w:rsidR="006C3CE9" w14:paraId="5F236816" w14:textId="77777777">
        <w:tc>
          <w:tcPr>
            <w:tcW w:w="6374" w:type="dxa"/>
          </w:tcPr>
          <w:p w14:paraId="225622E4"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Contract start date</w:t>
            </w:r>
          </w:p>
        </w:tc>
        <w:tc>
          <w:tcPr>
            <w:tcW w:w="2642" w:type="dxa"/>
          </w:tcPr>
          <w:p w14:paraId="5D85553A" w14:textId="77777777" w:rsidR="006C3CE9" w:rsidRDefault="008850BA">
            <w:pPr>
              <w:pStyle w:val="Normal1"/>
              <w:spacing w:before="78" w:line="254" w:lineRule="auto"/>
              <w:ind w:left="108" w:right="108"/>
              <w:jc w:val="both"/>
              <w:rPr>
                <w:rFonts w:ascii="Arial" w:eastAsia="Arial" w:hAnsi="Arial" w:cs="Arial"/>
              </w:rPr>
            </w:pPr>
            <w:r>
              <w:rPr>
                <w:rFonts w:ascii="Arial" w:eastAsia="Arial" w:hAnsi="Arial" w:cs="Arial"/>
              </w:rPr>
              <w:t>01/01/2020</w:t>
            </w:r>
          </w:p>
        </w:tc>
      </w:tr>
    </w:tbl>
    <w:p w14:paraId="6C5D01E9" w14:textId="77777777" w:rsidR="006C3CE9" w:rsidRDefault="006C3CE9">
      <w:pPr>
        <w:pStyle w:val="Normal1"/>
        <w:jc w:val="both"/>
        <w:rPr>
          <w:color w:val="000000"/>
        </w:rPr>
      </w:pPr>
    </w:p>
    <w:p w14:paraId="471F3364" w14:textId="4785A644"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information below provides an indicative overview of the procurement process. The Authority reserve the right to change elements of the competitive dialogue process at its sole discretion, this includes, but is not limited to, the number of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taken through to any subsequent phase.</w:t>
      </w:r>
    </w:p>
    <w:p w14:paraId="130364F6" w14:textId="77777777" w:rsidR="006C3CE9" w:rsidRDefault="008850BA">
      <w:pPr>
        <w:pStyle w:val="Heading4"/>
        <w:spacing w:before="0" w:after="240"/>
        <w:jc w:val="both"/>
        <w:rPr>
          <w:rFonts w:ascii="Arial" w:eastAsia="Arial" w:hAnsi="Arial" w:cs="Arial"/>
          <w:i w:val="0"/>
          <w:color w:val="000000"/>
        </w:rPr>
      </w:pPr>
      <w:bookmarkStart w:id="10" w:name="_Toc533068847"/>
      <w:r>
        <w:rPr>
          <w:rFonts w:ascii="Arial" w:eastAsia="Arial" w:hAnsi="Arial" w:cs="Arial"/>
          <w:i w:val="0"/>
          <w:color w:val="000000"/>
        </w:rPr>
        <w:t>4.2 TEAM</w:t>
      </w:r>
      <w:bookmarkEnd w:id="10"/>
      <w:r>
        <w:rPr>
          <w:rFonts w:ascii="Arial" w:eastAsia="Arial" w:hAnsi="Arial" w:cs="Arial"/>
          <w:i w:val="0"/>
          <w:color w:val="000000"/>
        </w:rPr>
        <w:t xml:space="preserve"> </w:t>
      </w:r>
    </w:p>
    <w:p w14:paraId="0444FED9"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The Authority will be using a dedicated team throughout the procurement process. The team comprises a broad membership including subject matter experts from procurement, finance, legal and HR. The team consists of both Authority employees and external third party advisors.</w:t>
      </w:r>
    </w:p>
    <w:p w14:paraId="65F17743" w14:textId="77777777" w:rsidR="006C3CE9" w:rsidRDefault="008850BA">
      <w:pPr>
        <w:pStyle w:val="Heading4"/>
        <w:spacing w:before="0" w:after="240"/>
        <w:jc w:val="both"/>
        <w:rPr>
          <w:rFonts w:ascii="Arial" w:eastAsia="Arial" w:hAnsi="Arial" w:cs="Arial"/>
          <w:i w:val="0"/>
          <w:color w:val="000000"/>
        </w:rPr>
      </w:pPr>
      <w:bookmarkStart w:id="11" w:name="_Toc533068848"/>
      <w:r>
        <w:rPr>
          <w:rFonts w:ascii="Arial" w:eastAsia="Arial" w:hAnsi="Arial" w:cs="Arial"/>
          <w:i w:val="0"/>
          <w:color w:val="000000"/>
        </w:rPr>
        <w:t>4.3 SQ PHASE</w:t>
      </w:r>
      <w:bookmarkEnd w:id="11"/>
    </w:p>
    <w:p w14:paraId="7B793A86" w14:textId="1A8A5CCF"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intention of the SQ phase is to identify 5 (up to a maximum of 8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suitable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to receive the Initial Invitation to Tender. The SQ asks a number of questions around suitability and capability, the answers to which will be evaluated in line with the stated criteria. The evaluation will be conducted by the Authority’s subject matter experts who will score the responses. Those scores will then be moderated by the Authority to arrive at a final score. The highest scoring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will be those who will receive the Invitation to Tender (ITT).</w:t>
      </w:r>
    </w:p>
    <w:p w14:paraId="74C72A2D" w14:textId="77777777" w:rsidR="006C3CE9" w:rsidRDefault="008850BA">
      <w:pPr>
        <w:pStyle w:val="Heading4"/>
        <w:spacing w:before="0" w:after="240"/>
        <w:jc w:val="both"/>
        <w:rPr>
          <w:rFonts w:ascii="Arial" w:eastAsia="Arial" w:hAnsi="Arial" w:cs="Arial"/>
          <w:i w:val="0"/>
          <w:color w:val="000000"/>
        </w:rPr>
      </w:pPr>
      <w:bookmarkStart w:id="12" w:name="_Toc533068849"/>
      <w:r>
        <w:rPr>
          <w:rFonts w:ascii="Arial" w:eastAsia="Arial" w:hAnsi="Arial" w:cs="Arial"/>
          <w:i w:val="0"/>
          <w:color w:val="000000"/>
        </w:rPr>
        <w:t>4.4 INVITATION TO TENDER (ITT) PHASE</w:t>
      </w:r>
      <w:bookmarkEnd w:id="12"/>
      <w:r>
        <w:rPr>
          <w:rFonts w:ascii="Arial" w:eastAsia="Arial" w:hAnsi="Arial" w:cs="Arial"/>
          <w:i w:val="0"/>
          <w:color w:val="000000"/>
        </w:rPr>
        <w:t xml:space="preserve"> </w:t>
      </w:r>
    </w:p>
    <w:p w14:paraId="17A9F829" w14:textId="7915AFBE" w:rsidR="006C3CE9" w:rsidRDefault="008850BA">
      <w:pPr>
        <w:pStyle w:val="Normal1"/>
        <w:spacing w:after="240"/>
        <w:ind w:right="72"/>
        <w:jc w:val="both"/>
        <w:rPr>
          <w:rFonts w:ascii="Arial" w:eastAsia="Arial" w:hAnsi="Arial" w:cs="Arial"/>
          <w:i/>
          <w:color w:val="000000"/>
          <w:sz w:val="24"/>
          <w:szCs w:val="24"/>
        </w:rPr>
      </w:pPr>
      <w:r>
        <w:rPr>
          <w:rFonts w:ascii="Arial" w:eastAsia="Arial" w:hAnsi="Arial" w:cs="Arial"/>
          <w:color w:val="000000"/>
        </w:rPr>
        <w:t xml:space="preserve">An ITT will be issued to the </w:t>
      </w:r>
      <w:r w:rsidR="00D47F48">
        <w:rPr>
          <w:rFonts w:ascii="Arial" w:eastAsia="Arial" w:hAnsi="Arial" w:cs="Arial"/>
          <w:color w:val="000000"/>
        </w:rPr>
        <w:t>Potential Bidders</w:t>
      </w:r>
      <w:r>
        <w:rPr>
          <w:rFonts w:ascii="Arial" w:eastAsia="Arial" w:hAnsi="Arial" w:cs="Arial"/>
          <w:color w:val="000000"/>
        </w:rPr>
        <w:t xml:space="preserve"> who were successful in the SQ evaluation.</w:t>
      </w:r>
      <w:r>
        <w:rPr>
          <w:rFonts w:ascii="Arial" w:eastAsia="Arial" w:hAnsi="Arial" w:cs="Arial"/>
          <w:color w:val="000000"/>
          <w:sz w:val="24"/>
          <w:szCs w:val="24"/>
        </w:rPr>
        <w:t xml:space="preserve"> Details of the tender will be set out in the invitation. Successful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can expect to receive, amongst other things:</w:t>
      </w:r>
    </w:p>
    <w:p w14:paraId="6EA20174"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a modified version of the CCS model services contract (as described below in section "The Authority’s Intended Terms and Conditions")</w:t>
      </w:r>
    </w:p>
    <w:p w14:paraId="581EA0B2"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detailed service requirements (including core service, security, member engagement, employer engagement, transition, commercial and financial requirements)</w:t>
      </w:r>
    </w:p>
    <w:p w14:paraId="2A07B9B0"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lastRenderedPageBreak/>
        <w:t>further detailed information on the Authority’s current service</w:t>
      </w:r>
    </w:p>
    <w:p w14:paraId="056B536E"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instructions on how to complete the tender</w:t>
      </w:r>
    </w:p>
    <w:p w14:paraId="016C692C"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the criteria and process for the evaluation of the tender submissions</w:t>
      </w:r>
    </w:p>
    <w:p w14:paraId="370B7807" w14:textId="77777777" w:rsidR="006C3CE9" w:rsidRDefault="008850BA">
      <w:pPr>
        <w:pStyle w:val="Normal1"/>
        <w:numPr>
          <w:ilvl w:val="0"/>
          <w:numId w:val="3"/>
        </w:numPr>
        <w:spacing w:after="240"/>
        <w:ind w:left="1287"/>
        <w:jc w:val="both"/>
      </w:pPr>
      <w:r>
        <w:rPr>
          <w:rFonts w:ascii="Arial" w:eastAsia="Arial" w:hAnsi="Arial" w:cs="Arial"/>
          <w:color w:val="000000"/>
          <w:sz w:val="24"/>
          <w:szCs w:val="24"/>
        </w:rPr>
        <w:t>a request to provide an outline solution, as well as responses to the Authority’s contractual and technical requirements</w:t>
      </w:r>
    </w:p>
    <w:p w14:paraId="4E08837A" w14:textId="4A1210DE" w:rsidR="006C3CE9" w:rsidRDefault="00D47F48">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Potential Bidders</w:t>
      </w:r>
      <w:r w:rsidR="008850BA">
        <w:rPr>
          <w:rFonts w:ascii="Arial" w:eastAsia="Arial" w:hAnsi="Arial" w:cs="Arial"/>
          <w:color w:val="000000"/>
          <w:sz w:val="24"/>
          <w:szCs w:val="24"/>
        </w:rPr>
        <w:t xml:space="preserve"> will be evaluated in line with the criteria stated within the ITT. The evaluation will be conducted by Authority subject matter experts who will score the responses. The Authority will moderate the scores to arrive at a final score. The </w:t>
      </w:r>
      <w:r>
        <w:rPr>
          <w:rFonts w:ascii="Arial" w:eastAsia="Arial" w:hAnsi="Arial" w:cs="Arial"/>
          <w:color w:val="000000"/>
          <w:sz w:val="24"/>
          <w:szCs w:val="24"/>
        </w:rPr>
        <w:t>Potential Bidders</w:t>
      </w:r>
      <w:r w:rsidR="008850BA">
        <w:rPr>
          <w:rFonts w:ascii="Arial" w:eastAsia="Arial" w:hAnsi="Arial" w:cs="Arial"/>
          <w:color w:val="000000"/>
          <w:sz w:val="24"/>
          <w:szCs w:val="24"/>
        </w:rPr>
        <w:t xml:space="preserve"> with the highest scores will be invited to participate in the dialogue phase. It is anticipated that around 3 </w:t>
      </w:r>
      <w:r>
        <w:rPr>
          <w:rFonts w:ascii="Arial" w:eastAsia="Arial" w:hAnsi="Arial" w:cs="Arial"/>
          <w:color w:val="000000"/>
          <w:sz w:val="24"/>
          <w:szCs w:val="24"/>
        </w:rPr>
        <w:t>Potential Bidders</w:t>
      </w:r>
      <w:r w:rsidR="008850BA">
        <w:rPr>
          <w:rFonts w:ascii="Arial" w:eastAsia="Arial" w:hAnsi="Arial" w:cs="Arial"/>
          <w:color w:val="000000"/>
          <w:sz w:val="24"/>
          <w:szCs w:val="24"/>
        </w:rPr>
        <w:t xml:space="preserve"> will be invited to participate in the dialogue phase.</w:t>
      </w:r>
    </w:p>
    <w:p w14:paraId="37A8C9F2" w14:textId="4424829F"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Authority intends to have one direct meeting with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during the ITT Phase. The means by which questions and clarifications can be raised will be set out within the ITT documentation.</w:t>
      </w:r>
    </w:p>
    <w:p w14:paraId="61580E98" w14:textId="77777777" w:rsidR="006C3CE9" w:rsidRDefault="008850BA">
      <w:pPr>
        <w:pStyle w:val="Heading4"/>
        <w:spacing w:before="0" w:after="240"/>
        <w:jc w:val="both"/>
        <w:rPr>
          <w:rFonts w:ascii="Arial" w:eastAsia="Arial" w:hAnsi="Arial" w:cs="Arial"/>
          <w:i w:val="0"/>
          <w:color w:val="000000"/>
        </w:rPr>
      </w:pPr>
      <w:bookmarkStart w:id="13" w:name="_Toc533068850"/>
      <w:r>
        <w:rPr>
          <w:rFonts w:ascii="Arial" w:eastAsia="Arial" w:hAnsi="Arial" w:cs="Arial"/>
          <w:i w:val="0"/>
          <w:color w:val="000000"/>
        </w:rPr>
        <w:t>4.5 DIALOGUE PHASE</w:t>
      </w:r>
      <w:bookmarkEnd w:id="13"/>
    </w:p>
    <w:p w14:paraId="0A34DA94" w14:textId="5BEE2EEF"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It is anticipated that 3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will enter the dialogue phase of this procurement, although the Authority reserve the right to change this number.</w:t>
      </w:r>
    </w:p>
    <w:p w14:paraId="28B20ED3" w14:textId="0EDBDC5D"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During the dialogue phase it is expected that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will meet directly with members of the Authority’s team to discuss various topics, including but not limited to, aspects of the requirements, the contract and proposed solution in order to develop appropriate solutions that will be submitted by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at final tender stage.</w:t>
      </w:r>
    </w:p>
    <w:p w14:paraId="51EF6AD3" w14:textId="503F0A9B"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details of the meetings, agenda, frequency and expected attendees will be advised nearer the time.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are expected to field a dedicated and consistent bid team with sufficient seniority, experience and authority to represent the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at all stages of the procurement process.</w:t>
      </w:r>
    </w:p>
    <w:p w14:paraId="68E20701" w14:textId="77777777" w:rsidR="006C3CE9" w:rsidRDefault="008850BA">
      <w:pPr>
        <w:pStyle w:val="Heading4"/>
        <w:spacing w:before="0" w:after="240"/>
        <w:jc w:val="both"/>
        <w:rPr>
          <w:rFonts w:ascii="Arial" w:eastAsia="Arial" w:hAnsi="Arial" w:cs="Arial"/>
          <w:i w:val="0"/>
          <w:color w:val="000000"/>
        </w:rPr>
      </w:pPr>
      <w:bookmarkStart w:id="14" w:name="_Toc533068851"/>
      <w:r>
        <w:rPr>
          <w:rFonts w:ascii="Arial" w:eastAsia="Arial" w:hAnsi="Arial" w:cs="Arial"/>
          <w:i w:val="0"/>
          <w:color w:val="000000"/>
        </w:rPr>
        <w:t>4.6 FINAL TENDER PHASE</w:t>
      </w:r>
      <w:bookmarkEnd w:id="14"/>
      <w:r>
        <w:rPr>
          <w:rFonts w:ascii="Arial" w:eastAsia="Arial" w:hAnsi="Arial" w:cs="Arial"/>
          <w:i w:val="0"/>
          <w:color w:val="000000"/>
        </w:rPr>
        <w:t xml:space="preserve"> </w:t>
      </w:r>
    </w:p>
    <w:p w14:paraId="42338FD9" w14:textId="14867BBC"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Following the dialogue phase,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will be invited to submit their final tenders. Details of the final tender will be set out in the invitation.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can expect to receive, amongst other things:</w:t>
      </w:r>
    </w:p>
    <w:p w14:paraId="4F22538B"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an updated modified version of the CCS model services contract (as described below in section "The Authority’s Intended Terms and Conditions")</w:t>
      </w:r>
    </w:p>
    <w:p w14:paraId="72EBE1EC"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updated detailed service requirements, including core service, security, member engagement, employer engagement, transition, commercial and financial requirements)</w:t>
      </w:r>
    </w:p>
    <w:p w14:paraId="5E470030"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further detailed information on the Authority’s current service</w:t>
      </w:r>
    </w:p>
    <w:p w14:paraId="64DF092D"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instructions on how to complete the final tender</w:t>
      </w:r>
    </w:p>
    <w:p w14:paraId="5B6FF816"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lastRenderedPageBreak/>
        <w:t>the criteria and process for the evaluation of the final tender submissions</w:t>
      </w:r>
    </w:p>
    <w:p w14:paraId="718D3DAE" w14:textId="77777777" w:rsidR="006C3CE9" w:rsidRDefault="008850BA">
      <w:pPr>
        <w:pStyle w:val="Normal1"/>
        <w:numPr>
          <w:ilvl w:val="0"/>
          <w:numId w:val="3"/>
        </w:numPr>
        <w:spacing w:after="240"/>
        <w:ind w:left="1287"/>
        <w:jc w:val="both"/>
      </w:pPr>
      <w:r>
        <w:rPr>
          <w:rFonts w:ascii="Arial" w:eastAsia="Arial" w:hAnsi="Arial" w:cs="Arial"/>
          <w:color w:val="000000"/>
          <w:sz w:val="24"/>
          <w:szCs w:val="24"/>
        </w:rPr>
        <w:t>a request to provide a full and detailed solution, as well as responses to the Authority’s updated contractual and technical requirements</w:t>
      </w:r>
    </w:p>
    <w:p w14:paraId="5284264F" w14:textId="7E9B66AD"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Tenders will be evaluated in line with the criteria stated within the invitation to submit a final tender. The evaluation will be conducted by Authority subject matter experts who will score the responses. The Authority will moderate the scores to arrive at a final score. The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with the highest score will be selected as the preferred Potential </w:t>
      </w:r>
      <w:r w:rsidR="00CE620E">
        <w:rPr>
          <w:rFonts w:ascii="Arial" w:eastAsia="Arial" w:hAnsi="Arial" w:cs="Arial"/>
          <w:color w:val="000000"/>
          <w:sz w:val="24"/>
          <w:szCs w:val="24"/>
        </w:rPr>
        <w:t>Bidder</w:t>
      </w:r>
      <w:r>
        <w:rPr>
          <w:rFonts w:ascii="Arial" w:eastAsia="Arial" w:hAnsi="Arial" w:cs="Arial"/>
          <w:color w:val="000000"/>
          <w:sz w:val="24"/>
          <w:szCs w:val="24"/>
        </w:rPr>
        <w:t>.</w:t>
      </w:r>
    </w:p>
    <w:p w14:paraId="32BE8655" w14:textId="0EB3DF7D" w:rsidR="006C3CE9" w:rsidRDefault="008850BA">
      <w:pPr>
        <w:pStyle w:val="Heading4"/>
        <w:spacing w:before="0" w:after="240"/>
        <w:jc w:val="both"/>
        <w:rPr>
          <w:rFonts w:ascii="Arial" w:eastAsia="Arial" w:hAnsi="Arial" w:cs="Arial"/>
          <w:i w:val="0"/>
          <w:color w:val="000000"/>
        </w:rPr>
      </w:pPr>
      <w:bookmarkStart w:id="15" w:name="_Toc533068852"/>
      <w:r>
        <w:rPr>
          <w:rFonts w:ascii="Arial" w:eastAsia="Arial" w:hAnsi="Arial" w:cs="Arial"/>
          <w:i w:val="0"/>
          <w:color w:val="000000"/>
        </w:rPr>
        <w:t xml:space="preserve">4.7 PREFERRED POTENTIAL </w:t>
      </w:r>
      <w:r w:rsidR="00CE620E">
        <w:rPr>
          <w:rFonts w:ascii="Arial" w:eastAsia="Arial" w:hAnsi="Arial" w:cs="Arial"/>
          <w:i w:val="0"/>
          <w:color w:val="000000"/>
        </w:rPr>
        <w:t>BIDDER</w:t>
      </w:r>
      <w:r>
        <w:rPr>
          <w:rFonts w:ascii="Arial" w:eastAsia="Arial" w:hAnsi="Arial" w:cs="Arial"/>
          <w:i w:val="0"/>
          <w:color w:val="000000"/>
        </w:rPr>
        <w:t xml:space="preserve"> TO AWARD STAGE</w:t>
      </w:r>
      <w:bookmarkEnd w:id="15"/>
      <w:r>
        <w:rPr>
          <w:rFonts w:ascii="Arial" w:eastAsia="Arial" w:hAnsi="Arial" w:cs="Arial"/>
          <w:i w:val="0"/>
          <w:color w:val="000000"/>
        </w:rPr>
        <w:t xml:space="preserve"> </w:t>
      </w:r>
    </w:p>
    <w:p w14:paraId="5234385B" w14:textId="0CD41598"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Following selection of the preferred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there will be a period of fine-tuning and clarifying between the preferred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and the Authority to ensure all appropriate details are addressed. Once this has been completed, and following the mandatory standstill period, it is anticipated that the Contract will be signed.</w:t>
      </w:r>
    </w:p>
    <w:p w14:paraId="3862CDDB" w14:textId="77777777" w:rsidR="006C3CE9" w:rsidRDefault="008850BA">
      <w:pPr>
        <w:pStyle w:val="Heading4"/>
        <w:spacing w:before="0" w:after="240"/>
        <w:jc w:val="both"/>
        <w:rPr>
          <w:rFonts w:ascii="Arial" w:eastAsia="Arial" w:hAnsi="Arial" w:cs="Arial"/>
          <w:i w:val="0"/>
          <w:color w:val="000000"/>
        </w:rPr>
      </w:pPr>
      <w:bookmarkStart w:id="16" w:name="_Toc533068853"/>
      <w:r>
        <w:rPr>
          <w:rFonts w:ascii="Arial" w:eastAsia="Arial" w:hAnsi="Arial" w:cs="Arial"/>
          <w:i w:val="0"/>
          <w:color w:val="000000"/>
        </w:rPr>
        <w:t>4.8 ASSESSMENT AND DOWNSELECT FOCUS</w:t>
      </w:r>
      <w:bookmarkEnd w:id="16"/>
      <w:r>
        <w:rPr>
          <w:rFonts w:ascii="Arial" w:eastAsia="Arial" w:hAnsi="Arial" w:cs="Arial"/>
          <w:i w:val="0"/>
          <w:color w:val="000000"/>
        </w:rPr>
        <w:t xml:space="preserve"> </w:t>
      </w:r>
    </w:p>
    <w:p w14:paraId="41801962"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As stated above, it is pivotal to the Authority to select a solution that meets the appropriate levels of service assurance and quality. The process for the different down selects, and the associated balance of the assessment criteria at the different stages, reflect this desired outcome.</w:t>
      </w:r>
    </w:p>
    <w:p w14:paraId="6A5AA1BC"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In addition, as the scope and requirements will not be finalised at the time of the initial tender, some elements of the solution, such as cost, will not be mature enough to take fully into account in the assessment of the down select at that stage.</w:t>
      </w:r>
    </w:p>
    <w:p w14:paraId="31FBA109" w14:textId="3934C90E"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Authority intends, therefore, to use different assessment weightings for the initial tenders and final tenders to ensure that these objectives are met, and that each stage is assessed appropriately.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should note that the ratio intended for down select following the initial tender submission will be based on a 30/70 price/quality ratio, while the 45/55 price/quality ratio, as published in the OJEU Notice, will be used for the final tender. Further details of how the high-level weightings break down will be set out in the respective initial tender and final tender documents.</w:t>
      </w:r>
    </w:p>
    <w:p w14:paraId="1D5D93CA" w14:textId="77777777" w:rsidR="006C3CE9" w:rsidRDefault="008850BA">
      <w:pPr>
        <w:pStyle w:val="Heading4"/>
        <w:spacing w:before="0" w:after="240"/>
        <w:jc w:val="both"/>
        <w:rPr>
          <w:rFonts w:ascii="Arial" w:eastAsia="Arial" w:hAnsi="Arial" w:cs="Arial"/>
          <w:i w:val="0"/>
          <w:color w:val="000000"/>
        </w:rPr>
      </w:pPr>
      <w:bookmarkStart w:id="17" w:name="_Toc533068854"/>
      <w:r>
        <w:rPr>
          <w:rFonts w:ascii="Arial" w:eastAsia="Arial" w:hAnsi="Arial" w:cs="Arial"/>
          <w:i w:val="0"/>
          <w:color w:val="000000"/>
        </w:rPr>
        <w:t>4.9 APPROVALS AND GOVERNANCE</w:t>
      </w:r>
      <w:bookmarkEnd w:id="17"/>
      <w:r>
        <w:rPr>
          <w:rFonts w:ascii="Arial" w:eastAsia="Arial" w:hAnsi="Arial" w:cs="Arial"/>
          <w:i w:val="0"/>
          <w:color w:val="000000"/>
        </w:rPr>
        <w:t xml:space="preserve"> </w:t>
      </w:r>
    </w:p>
    <w:p w14:paraId="29FB64BB"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There is a robust governance process around this procurement. Steps in the procurement process that will be subject to governance approvals include, but are not limited to, each down-selection and the final contract award. The contract award will be subject to external governance as well as that of the Authority.</w:t>
      </w:r>
    </w:p>
    <w:p w14:paraId="2C542430" w14:textId="77777777" w:rsidR="006C3CE9" w:rsidRDefault="008850BA">
      <w:pPr>
        <w:pStyle w:val="Heading4"/>
        <w:spacing w:before="0" w:after="240"/>
        <w:jc w:val="both"/>
        <w:rPr>
          <w:rFonts w:ascii="Arial" w:eastAsia="Arial" w:hAnsi="Arial" w:cs="Arial"/>
          <w:i w:val="0"/>
          <w:color w:val="000000"/>
        </w:rPr>
      </w:pPr>
      <w:bookmarkStart w:id="18" w:name="_Toc533068855"/>
      <w:r>
        <w:rPr>
          <w:rFonts w:ascii="Arial" w:eastAsia="Arial" w:hAnsi="Arial" w:cs="Arial"/>
          <w:i w:val="0"/>
          <w:color w:val="000000"/>
        </w:rPr>
        <w:t>4.10 THE AUTHORITY’S INTENDED TERMS AND CONDITIONS</w:t>
      </w:r>
      <w:bookmarkEnd w:id="18"/>
    </w:p>
    <w:p w14:paraId="32FD1F81"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Authority intends to use a modified version of the Crown Commercial Service Model Services Contract as the basis for contractualising this procurement and a copy of the CCS Model Services Contract is available at </w:t>
      </w:r>
      <w:hyperlink r:id="rId11">
        <w:r>
          <w:rPr>
            <w:rFonts w:ascii="Arial" w:eastAsia="Arial" w:hAnsi="Arial" w:cs="Arial"/>
            <w:color w:val="0000FF"/>
            <w:sz w:val="24"/>
            <w:szCs w:val="24"/>
            <w:u w:val="single"/>
          </w:rPr>
          <w:t>https://www.gov.uk/government/publications/model-services-contract</w:t>
        </w:r>
      </w:hyperlink>
      <w:r>
        <w:rPr>
          <w:rFonts w:ascii="Arial" w:eastAsia="Arial" w:hAnsi="Arial" w:cs="Arial"/>
          <w:color w:val="000000"/>
          <w:sz w:val="24"/>
          <w:szCs w:val="24"/>
        </w:rPr>
        <w:t>. The Authority will modify the CCS Model Services Contract to meet its particular needs. The modified contract will be released at the ITT phase.</w:t>
      </w:r>
    </w:p>
    <w:p w14:paraId="33AE5814" w14:textId="7F58C82D" w:rsidR="006C3CE9" w:rsidRDefault="00D47F48">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lastRenderedPageBreak/>
        <w:t>Potential Bidders</w:t>
      </w:r>
      <w:r w:rsidR="008850BA">
        <w:rPr>
          <w:rFonts w:ascii="Arial" w:eastAsia="Arial" w:hAnsi="Arial" w:cs="Arial"/>
          <w:color w:val="000000"/>
          <w:sz w:val="24"/>
          <w:szCs w:val="24"/>
        </w:rPr>
        <w:t xml:space="preserve"> are asked to note that the Contract will contain a number of negotiable and non-negotiable clauses and schedules. The negotiable clauses and schedules will be advised during the course of this procurement. It is currently anticipated that the non-negotiable clauses and schedules may include, but are not limited to, obligations in relation to:</w:t>
      </w:r>
    </w:p>
    <w:p w14:paraId="4275C44B"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all applicable law regarding Health &amp; Safety</w:t>
      </w:r>
    </w:p>
    <w:p w14:paraId="3AF84099"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all applicable equality law including Authority's equality and diversity policy and in connection with any equality obligations imposed on the Authority at any time under any applicable equality law</w:t>
      </w:r>
    </w:p>
    <w:p w14:paraId="60D2EEC5"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Freedom Of Information Act 2000</w:t>
      </w:r>
    </w:p>
    <w:p w14:paraId="171ED675"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the Authority’s security requirements and confidentiality obligations</w:t>
      </w:r>
    </w:p>
    <w:p w14:paraId="151606A5"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the prevention of fraud</w:t>
      </w:r>
    </w:p>
    <w:p w14:paraId="0909AE01"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data protection including the General Data Protection Regulation and the Data Protection Act 2018</w:t>
      </w:r>
    </w:p>
    <w:p w14:paraId="53650978"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the Bribery Act 2010</w:t>
      </w:r>
    </w:p>
    <w:p w14:paraId="662927C5" w14:textId="77777777" w:rsidR="006C3CE9" w:rsidRDefault="008850BA">
      <w:pPr>
        <w:pStyle w:val="Heading3"/>
        <w:spacing w:before="0" w:after="240"/>
        <w:jc w:val="both"/>
        <w:rPr>
          <w:rFonts w:ascii="Arial" w:eastAsia="Arial" w:hAnsi="Arial" w:cs="Arial"/>
          <w:b/>
          <w:color w:val="000000"/>
        </w:rPr>
      </w:pPr>
      <w:bookmarkStart w:id="19" w:name="_Toc533068856"/>
      <w:r>
        <w:rPr>
          <w:rFonts w:ascii="Arial" w:eastAsia="Arial" w:hAnsi="Arial" w:cs="Arial"/>
          <w:b/>
          <w:color w:val="000000"/>
        </w:rPr>
        <w:t>5. INTRUCTIONS FOR SUBMITTING A SQ</w:t>
      </w:r>
      <w:bookmarkEnd w:id="19"/>
      <w:r>
        <w:rPr>
          <w:rFonts w:ascii="Arial" w:eastAsia="Arial" w:hAnsi="Arial" w:cs="Arial"/>
          <w:b/>
          <w:color w:val="000000"/>
        </w:rPr>
        <w:t xml:space="preserve"> </w:t>
      </w:r>
    </w:p>
    <w:p w14:paraId="53E78EFA"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As detailed earlier in this Descriptive Document the first phase for this procurement is the SQ phase.</w:t>
      </w:r>
    </w:p>
    <w:p w14:paraId="7564E190" w14:textId="5954915E"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SQ evaluation will be conducted via the </w:t>
      </w:r>
      <w:r w:rsidR="009E54E0">
        <w:rPr>
          <w:rFonts w:ascii="Arial" w:eastAsia="Arial" w:hAnsi="Arial" w:cs="Arial"/>
          <w:color w:val="000000"/>
          <w:sz w:val="24"/>
          <w:szCs w:val="24"/>
        </w:rPr>
        <w:t>eS</w:t>
      </w:r>
      <w:r>
        <w:rPr>
          <w:rFonts w:ascii="Arial" w:eastAsia="Arial" w:hAnsi="Arial" w:cs="Arial"/>
          <w:color w:val="000000"/>
          <w:sz w:val="24"/>
          <w:szCs w:val="24"/>
        </w:rPr>
        <w:t>ourcing suite upon the terms as detailed in the OJEU Notice. All submissions must be submitted via this method by the closing date, any submitted by alternative means or that arrive after the cut-off date/ time will not be considered.</w:t>
      </w:r>
    </w:p>
    <w:p w14:paraId="3A2E3BDC" w14:textId="79205893"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SQ submissions must remain valid for a period of at least </w:t>
      </w:r>
      <w:r w:rsidR="0084060B">
        <w:rPr>
          <w:rFonts w:ascii="Arial" w:eastAsia="Arial" w:hAnsi="Arial" w:cs="Arial"/>
          <w:color w:val="000000"/>
          <w:sz w:val="24"/>
          <w:szCs w:val="24"/>
        </w:rPr>
        <w:t xml:space="preserve">12 months </w:t>
      </w:r>
      <w:r>
        <w:rPr>
          <w:rFonts w:ascii="Arial" w:eastAsia="Arial" w:hAnsi="Arial" w:cs="Arial"/>
          <w:color w:val="000000"/>
          <w:sz w:val="24"/>
          <w:szCs w:val="24"/>
        </w:rPr>
        <w:t>following the SQ submission deadline. If a SQ submission is submitted with a shorter validity period it may be rejected by the Authority.</w:t>
      </w:r>
    </w:p>
    <w:p w14:paraId="1ABB4C27" w14:textId="408570E0"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SQ core questions promoted by the Authority's Efficiency and Reform Group (ERG) are in general used by the Authority as the selection criteria questions in all applicable tendering events, having been adapted where necessary to suit the Authority’s specific requirements and use of the </w:t>
      </w:r>
      <w:r w:rsidR="009E54E0">
        <w:rPr>
          <w:rFonts w:ascii="Arial" w:eastAsia="Arial" w:hAnsi="Arial" w:cs="Arial"/>
          <w:color w:val="000000"/>
          <w:sz w:val="24"/>
          <w:szCs w:val="24"/>
        </w:rPr>
        <w:t>e</w:t>
      </w:r>
      <w:r>
        <w:rPr>
          <w:rFonts w:ascii="Arial" w:eastAsia="Arial" w:hAnsi="Arial" w:cs="Arial"/>
          <w:color w:val="000000"/>
          <w:sz w:val="24"/>
          <w:szCs w:val="24"/>
        </w:rPr>
        <w:t>Sourcing suite.</w:t>
      </w:r>
    </w:p>
    <w:p w14:paraId="1E6536DB" w14:textId="1C9A8688" w:rsidR="006C3CE9" w:rsidRDefault="00D47F48">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Potential Bidders</w:t>
      </w:r>
      <w:r w:rsidR="008850BA">
        <w:rPr>
          <w:rFonts w:ascii="Arial" w:eastAsia="Arial" w:hAnsi="Arial" w:cs="Arial"/>
          <w:color w:val="000000"/>
          <w:sz w:val="24"/>
          <w:szCs w:val="24"/>
        </w:rPr>
        <w:t xml:space="preserve"> MUST answer the core questions contained in the SQ.  All responses must be in English.</w:t>
      </w:r>
    </w:p>
    <w:p w14:paraId="2BF63C5D" w14:textId="64D93959"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In addition to the core questions there are a number of specific technical questions contained within the SQ relevant to this procurement. These questions will be used as the basis for the evaluation of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and details of the evaluation scores and evaluation method are contained in the SQ Evaluation section of this document.</w:t>
      </w:r>
    </w:p>
    <w:p w14:paraId="2076763B" w14:textId="0ECB4ABB"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To access the SQ process on the </w:t>
      </w:r>
      <w:r w:rsidR="009E54E0">
        <w:rPr>
          <w:rFonts w:ascii="Arial" w:eastAsia="Arial" w:hAnsi="Arial" w:cs="Arial"/>
          <w:color w:val="000000"/>
          <w:sz w:val="24"/>
          <w:szCs w:val="24"/>
        </w:rPr>
        <w:t>e</w:t>
      </w:r>
      <w:r>
        <w:rPr>
          <w:rFonts w:ascii="Arial" w:eastAsia="Arial" w:hAnsi="Arial" w:cs="Arial"/>
          <w:color w:val="000000"/>
          <w:sz w:val="24"/>
          <w:szCs w:val="24"/>
        </w:rPr>
        <w:t xml:space="preserve">Sourcing suite,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firstly need to register for access if they have not already done so already. Detailed instructions on how to register are contained in the OJEU Notice.</w:t>
      </w:r>
    </w:p>
    <w:p w14:paraId="2487D750" w14:textId="369B9745" w:rsidR="006C3CE9" w:rsidRDefault="00D47F48">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lastRenderedPageBreak/>
        <w:t>Potential Bidders</w:t>
      </w:r>
      <w:r w:rsidR="008850BA">
        <w:rPr>
          <w:rFonts w:ascii="Arial" w:eastAsia="Arial" w:hAnsi="Arial" w:cs="Arial"/>
          <w:color w:val="000000"/>
          <w:sz w:val="24"/>
          <w:szCs w:val="24"/>
        </w:rPr>
        <w:t xml:space="preserve"> will then need to complete the SQ as instructed in the </w:t>
      </w:r>
      <w:r w:rsidR="009E54E0">
        <w:rPr>
          <w:rFonts w:ascii="Arial" w:eastAsia="Arial" w:hAnsi="Arial" w:cs="Arial"/>
          <w:color w:val="000000"/>
          <w:sz w:val="24"/>
          <w:szCs w:val="24"/>
        </w:rPr>
        <w:t>eS</w:t>
      </w:r>
      <w:r w:rsidR="008850BA">
        <w:rPr>
          <w:rFonts w:ascii="Arial" w:eastAsia="Arial" w:hAnsi="Arial" w:cs="Arial"/>
          <w:color w:val="000000"/>
          <w:sz w:val="24"/>
          <w:szCs w:val="24"/>
        </w:rPr>
        <w:t>ourcing suite and the guidance provided in the Authority’s tendering instructions posted along with the SQ.</w:t>
      </w:r>
    </w:p>
    <w:p w14:paraId="0A5BE2EB" w14:textId="53CA5DFA" w:rsidR="006C3CE9" w:rsidRDefault="00D47F48">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Potential Bidders</w:t>
      </w:r>
      <w:r w:rsidR="008850BA">
        <w:rPr>
          <w:rFonts w:ascii="Arial" w:eastAsia="Arial" w:hAnsi="Arial" w:cs="Arial"/>
          <w:color w:val="000000"/>
          <w:sz w:val="24"/>
          <w:szCs w:val="24"/>
        </w:rPr>
        <w:t xml:space="preserve"> may modify their responses prior to the deadline for responses. No responses may be modified after the deadline for responses.</w:t>
      </w:r>
    </w:p>
    <w:p w14:paraId="021D1676" w14:textId="5F05DDBC" w:rsidR="006C3CE9" w:rsidRDefault="00D47F48">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Potential Bidders</w:t>
      </w:r>
      <w:r w:rsidR="008850BA">
        <w:rPr>
          <w:rFonts w:ascii="Arial" w:eastAsia="Arial" w:hAnsi="Arial" w:cs="Arial"/>
          <w:color w:val="000000"/>
          <w:sz w:val="24"/>
          <w:szCs w:val="24"/>
        </w:rPr>
        <w:t xml:space="preserve"> may withdraw their response at any time by submitting a notice via the </w:t>
      </w:r>
      <w:r w:rsidR="009E54E0">
        <w:rPr>
          <w:rFonts w:ascii="Arial" w:eastAsia="Arial" w:hAnsi="Arial" w:cs="Arial"/>
          <w:color w:val="000000"/>
          <w:sz w:val="24"/>
          <w:szCs w:val="24"/>
        </w:rPr>
        <w:t>e</w:t>
      </w:r>
      <w:r w:rsidR="008850BA">
        <w:rPr>
          <w:rFonts w:ascii="Arial" w:eastAsia="Arial" w:hAnsi="Arial" w:cs="Arial"/>
          <w:color w:val="000000"/>
          <w:sz w:val="24"/>
          <w:szCs w:val="24"/>
        </w:rPr>
        <w:t>Sourcing suite.</w:t>
      </w:r>
    </w:p>
    <w:p w14:paraId="30F34C1D" w14:textId="44C208C1"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Where a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is already providing services to the Authority in connection with the CSPS (an "Incumbent Supplier") then such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must attach a signed "Ethical Walls" agreement to their SQ submission. No change to the terms therein is permitted. If an Incumbent Supplier does not attach a signed ethical walls agreement with their SQ submission then the Authority reserves the right to exclude them from the SQ process and the rest of the procurement. </w:t>
      </w:r>
    </w:p>
    <w:p w14:paraId="00BBC491" w14:textId="77777777" w:rsidR="006C3CE9" w:rsidRDefault="008850BA">
      <w:pPr>
        <w:pStyle w:val="Heading4"/>
        <w:spacing w:before="0" w:after="240"/>
        <w:jc w:val="both"/>
        <w:rPr>
          <w:rFonts w:ascii="Arial" w:eastAsia="Arial" w:hAnsi="Arial" w:cs="Arial"/>
          <w:i w:val="0"/>
          <w:color w:val="000000"/>
        </w:rPr>
      </w:pPr>
      <w:bookmarkStart w:id="20" w:name="_Toc533068857"/>
      <w:r>
        <w:rPr>
          <w:rFonts w:ascii="Arial" w:eastAsia="Arial" w:hAnsi="Arial" w:cs="Arial"/>
          <w:i w:val="0"/>
          <w:color w:val="000000"/>
        </w:rPr>
        <w:t>5.1 SQ EVALUATION</w:t>
      </w:r>
      <w:bookmarkEnd w:id="20"/>
      <w:r>
        <w:rPr>
          <w:rFonts w:ascii="Arial" w:eastAsia="Arial" w:hAnsi="Arial" w:cs="Arial"/>
          <w:i w:val="0"/>
          <w:color w:val="000000"/>
        </w:rPr>
        <w:t xml:space="preserve"> </w:t>
      </w:r>
    </w:p>
    <w:p w14:paraId="3E70927E" w14:textId="75CC66FB"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 xml:space="preserve">The Authority wants to assess the technical ability of the </w:t>
      </w:r>
      <w:r w:rsidR="00D47F48">
        <w:rPr>
          <w:rFonts w:ascii="Arial" w:eastAsia="Arial" w:hAnsi="Arial" w:cs="Arial"/>
          <w:color w:val="000000"/>
          <w:sz w:val="24"/>
          <w:szCs w:val="24"/>
          <w:lang w:val="en-GB"/>
        </w:rPr>
        <w:t>Potential Bidders</w:t>
      </w:r>
      <w:r>
        <w:rPr>
          <w:rFonts w:ascii="Arial" w:eastAsia="Arial" w:hAnsi="Arial" w:cs="Arial"/>
          <w:color w:val="000000"/>
          <w:sz w:val="24"/>
          <w:szCs w:val="24"/>
          <w:lang w:val="en-GB"/>
        </w:rPr>
        <w:t xml:space="preserve"> and in particular is seeking to ensure that they have a sufficient level of experience based on contracts performed in the past.</w:t>
      </w:r>
    </w:p>
    <w:p w14:paraId="7FB0BEDE" w14:textId="2CFB79D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As previously mentioned in this document the results from the information received for this SQ Phase will result in a score for each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Following this the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with the highest scores (up to a maximum of 8 </w:t>
      </w:r>
      <w:r w:rsidR="00D47F48">
        <w:rPr>
          <w:rFonts w:ascii="Arial" w:eastAsia="Arial" w:hAnsi="Arial" w:cs="Arial"/>
          <w:color w:val="000000"/>
          <w:sz w:val="24"/>
          <w:szCs w:val="24"/>
        </w:rPr>
        <w:t>Potential Bidders</w:t>
      </w:r>
      <w:r>
        <w:rPr>
          <w:rFonts w:ascii="Arial" w:eastAsia="Arial" w:hAnsi="Arial" w:cs="Arial"/>
          <w:color w:val="000000"/>
          <w:sz w:val="24"/>
          <w:szCs w:val="24"/>
        </w:rPr>
        <w:t>) will be selected to proceed to the next stage.</w:t>
      </w:r>
    </w:p>
    <w:p w14:paraId="3A9740D0" w14:textId="581F8893" w:rsidR="006C3CE9" w:rsidRDefault="008850BA">
      <w:pPr>
        <w:pStyle w:val="Normal1"/>
        <w:spacing w:after="240"/>
        <w:ind w:right="72"/>
        <w:jc w:val="both"/>
        <w:rPr>
          <w:rFonts w:ascii="Arial" w:eastAsia="Arial" w:hAnsi="Arial" w:cs="Arial"/>
          <w:color w:val="000000" w:themeColor="text1"/>
          <w:sz w:val="24"/>
          <w:szCs w:val="24"/>
        </w:rPr>
      </w:pPr>
      <w:r>
        <w:rPr>
          <w:rFonts w:ascii="Arial" w:eastAsia="Arial" w:hAnsi="Arial" w:cs="Arial"/>
          <w:color w:val="000000" w:themeColor="text1"/>
          <w:sz w:val="24"/>
          <w:szCs w:val="24"/>
        </w:rPr>
        <w:t xml:space="preserve">The SQ will request specific areas of information from </w:t>
      </w:r>
      <w:r w:rsidR="00D47F48">
        <w:rPr>
          <w:rFonts w:ascii="Arial" w:eastAsia="Arial" w:hAnsi="Arial" w:cs="Arial"/>
          <w:color w:val="000000" w:themeColor="text1"/>
          <w:sz w:val="24"/>
          <w:szCs w:val="24"/>
        </w:rPr>
        <w:t>Potential Bidders</w:t>
      </w:r>
      <w:r>
        <w:rPr>
          <w:rFonts w:ascii="Arial" w:eastAsia="Arial" w:hAnsi="Arial" w:cs="Arial"/>
          <w:color w:val="000000" w:themeColor="text1"/>
          <w:sz w:val="24"/>
          <w:szCs w:val="24"/>
        </w:rPr>
        <w:t xml:space="preserve"> consisting of both mandatory responses and additional information. Based on these </w:t>
      </w:r>
      <w:r>
        <w:rPr>
          <w:rFonts w:ascii="Arial" w:eastAsia="Arial" w:hAnsi="Arial" w:cs="Arial"/>
          <w:color w:val="000000"/>
          <w:sz w:val="24"/>
          <w:szCs w:val="24"/>
        </w:rPr>
        <w:t>responses</w:t>
      </w:r>
      <w:r>
        <w:rPr>
          <w:rFonts w:ascii="Arial" w:eastAsia="Arial" w:hAnsi="Arial" w:cs="Arial"/>
          <w:color w:val="000000" w:themeColor="text1"/>
          <w:sz w:val="24"/>
          <w:szCs w:val="24"/>
        </w:rPr>
        <w:t xml:space="preserve"> the Authority’s evaluation team will then evaluate all the responses.</w:t>
      </w:r>
    </w:p>
    <w:p w14:paraId="579E3045" w14:textId="42B3D7D2" w:rsidR="006C3CE9" w:rsidRDefault="00D47F48">
      <w:pPr>
        <w:pStyle w:val="Normal1"/>
        <w:spacing w:after="240"/>
        <w:ind w:right="72"/>
        <w:jc w:val="both"/>
        <w:rPr>
          <w:rFonts w:ascii="Arial" w:eastAsia="Arial" w:hAnsi="Arial" w:cs="Arial"/>
          <w:b/>
          <w:i/>
          <w:color w:val="000000" w:themeColor="text1"/>
        </w:rPr>
      </w:pPr>
      <w:r>
        <w:rPr>
          <w:rFonts w:ascii="Arial" w:eastAsia="Arial" w:hAnsi="Arial" w:cs="Arial"/>
          <w:color w:val="000000" w:themeColor="text1"/>
          <w:sz w:val="24"/>
          <w:szCs w:val="24"/>
        </w:rPr>
        <w:t>Potential Bidders</w:t>
      </w:r>
      <w:r w:rsidR="008850BA">
        <w:rPr>
          <w:rFonts w:ascii="Arial" w:eastAsia="Arial" w:hAnsi="Arial" w:cs="Arial"/>
          <w:color w:val="000000" w:themeColor="text1"/>
          <w:sz w:val="24"/>
          <w:szCs w:val="24"/>
        </w:rPr>
        <w:t xml:space="preserve"> </w:t>
      </w:r>
      <w:r w:rsidR="008850BA">
        <w:rPr>
          <w:rFonts w:ascii="Arial" w:eastAsia="Arial" w:hAnsi="Arial" w:cs="Arial"/>
          <w:b/>
          <w:color w:val="000000" w:themeColor="text1"/>
          <w:sz w:val="24"/>
          <w:szCs w:val="24"/>
        </w:rPr>
        <w:t xml:space="preserve">must </w:t>
      </w:r>
      <w:r w:rsidR="008850BA">
        <w:rPr>
          <w:rFonts w:ascii="Arial" w:eastAsia="Arial" w:hAnsi="Arial" w:cs="Arial"/>
          <w:color w:val="000000" w:themeColor="text1"/>
          <w:sz w:val="24"/>
          <w:szCs w:val="24"/>
        </w:rPr>
        <w:t xml:space="preserve">provide a response to every question within the </w:t>
      </w:r>
      <w:r w:rsidR="009E54E0">
        <w:rPr>
          <w:rFonts w:ascii="Arial" w:eastAsia="Arial" w:hAnsi="Arial" w:cs="Arial"/>
          <w:color w:val="000000" w:themeColor="text1"/>
          <w:sz w:val="24"/>
          <w:szCs w:val="24"/>
        </w:rPr>
        <w:t>e</w:t>
      </w:r>
      <w:r w:rsidR="008850BA">
        <w:rPr>
          <w:rFonts w:ascii="Arial" w:eastAsia="Arial" w:hAnsi="Arial" w:cs="Arial"/>
          <w:color w:val="000000" w:themeColor="text1"/>
          <w:sz w:val="24"/>
          <w:szCs w:val="24"/>
        </w:rPr>
        <w:t>Sourcing suite.</w:t>
      </w:r>
    </w:p>
    <w:p w14:paraId="6AAEB68F" w14:textId="66CFF232" w:rsidR="006C3CE9" w:rsidRDefault="00D47F48">
      <w:pPr>
        <w:pStyle w:val="Normal1"/>
        <w:spacing w:after="240"/>
        <w:ind w:right="72"/>
        <w:jc w:val="both"/>
        <w:rPr>
          <w:rFonts w:ascii="Arial" w:eastAsia="Arial" w:hAnsi="Arial" w:cs="Arial"/>
          <w:color w:val="000000" w:themeColor="text1"/>
          <w:sz w:val="24"/>
          <w:szCs w:val="24"/>
        </w:rPr>
      </w:pPr>
      <w:r>
        <w:rPr>
          <w:rFonts w:ascii="Arial" w:eastAsia="Arial" w:hAnsi="Arial" w:cs="Arial"/>
          <w:color w:val="000000" w:themeColor="text1"/>
          <w:sz w:val="24"/>
          <w:szCs w:val="24"/>
        </w:rPr>
        <w:t>Potential Bidders</w:t>
      </w:r>
      <w:r w:rsidR="008850BA">
        <w:rPr>
          <w:rFonts w:ascii="Arial" w:eastAsia="Arial" w:hAnsi="Arial" w:cs="Arial"/>
          <w:color w:val="000000" w:themeColor="text1"/>
          <w:sz w:val="24"/>
          <w:szCs w:val="24"/>
        </w:rPr>
        <w:t xml:space="preserve"> </w:t>
      </w:r>
      <w:r w:rsidR="008850BA">
        <w:rPr>
          <w:rFonts w:ascii="Arial" w:eastAsia="Arial" w:hAnsi="Arial" w:cs="Arial"/>
          <w:b/>
          <w:color w:val="000000" w:themeColor="text1"/>
          <w:sz w:val="24"/>
          <w:szCs w:val="24"/>
        </w:rPr>
        <w:t xml:space="preserve">must not </w:t>
      </w:r>
      <w:r w:rsidR="008850BA">
        <w:rPr>
          <w:rFonts w:ascii="Arial" w:eastAsia="Arial" w:hAnsi="Arial" w:cs="Arial"/>
          <w:color w:val="000000" w:themeColor="text1"/>
          <w:sz w:val="24"/>
          <w:szCs w:val="24"/>
        </w:rPr>
        <w:t>submit any additional information with their SQ response other than that specifically requested in this document.</w:t>
      </w:r>
    </w:p>
    <w:p w14:paraId="4B9E7094" w14:textId="48639901" w:rsidR="006C3CE9" w:rsidRDefault="008850BA">
      <w:pPr>
        <w:pStyle w:val="Normal1"/>
        <w:spacing w:after="240"/>
        <w:ind w:right="72"/>
        <w:jc w:val="both"/>
        <w:rPr>
          <w:rFonts w:ascii="Arial" w:eastAsia="Arial" w:hAnsi="Arial" w:cs="Arial"/>
          <w:color w:val="000000" w:themeColor="text1"/>
          <w:sz w:val="24"/>
          <w:szCs w:val="24"/>
        </w:rPr>
      </w:pPr>
      <w:r>
        <w:rPr>
          <w:rFonts w:ascii="Arial" w:eastAsia="Arial" w:hAnsi="Arial" w:cs="Arial"/>
          <w:color w:val="000000" w:themeColor="text1"/>
          <w:sz w:val="24"/>
          <w:szCs w:val="24"/>
        </w:rPr>
        <w:t xml:space="preserve">Evaluation of </w:t>
      </w:r>
      <w:r w:rsidR="00D47F48">
        <w:rPr>
          <w:rFonts w:ascii="Arial" w:eastAsia="Arial" w:hAnsi="Arial" w:cs="Arial"/>
          <w:color w:val="000000" w:themeColor="text1"/>
          <w:sz w:val="24"/>
          <w:szCs w:val="24"/>
        </w:rPr>
        <w:t>Potential Bidders</w:t>
      </w:r>
      <w:r>
        <w:rPr>
          <w:rFonts w:ascii="Arial" w:eastAsia="Arial" w:hAnsi="Arial" w:cs="Arial"/>
          <w:color w:val="000000" w:themeColor="text1"/>
          <w:sz w:val="24"/>
          <w:szCs w:val="24"/>
        </w:rPr>
        <w:t xml:space="preserve">’ responses will be completed by reference of the different </w:t>
      </w:r>
      <w:r>
        <w:rPr>
          <w:rFonts w:ascii="Arial" w:eastAsia="Arial" w:hAnsi="Arial" w:cs="Arial"/>
          <w:color w:val="000000"/>
          <w:sz w:val="24"/>
          <w:szCs w:val="24"/>
        </w:rPr>
        <w:t>questions</w:t>
      </w:r>
      <w:r>
        <w:rPr>
          <w:rFonts w:ascii="Arial" w:eastAsia="Arial" w:hAnsi="Arial" w:cs="Arial"/>
          <w:color w:val="000000" w:themeColor="text1"/>
          <w:sz w:val="24"/>
          <w:szCs w:val="24"/>
        </w:rPr>
        <w:t xml:space="preserve"> detailed in the Bravo tool. Please note that the questions must be answered via the respective questionnaires within the Bravo tool. </w:t>
      </w:r>
    </w:p>
    <w:p w14:paraId="1851B56F" w14:textId="77777777" w:rsidR="006C3CE9" w:rsidRDefault="008850BA">
      <w:pPr>
        <w:pStyle w:val="Heading4"/>
        <w:spacing w:before="0" w:after="240"/>
        <w:jc w:val="both"/>
        <w:rPr>
          <w:rFonts w:ascii="Arial" w:eastAsia="Arial" w:hAnsi="Arial" w:cs="Arial"/>
          <w:i w:val="0"/>
          <w:color w:val="000000"/>
        </w:rPr>
      </w:pPr>
      <w:bookmarkStart w:id="21" w:name="_Toc533068858"/>
      <w:r>
        <w:rPr>
          <w:rFonts w:ascii="Arial" w:eastAsia="Arial" w:hAnsi="Arial" w:cs="Arial"/>
          <w:i w:val="0"/>
          <w:color w:val="000000"/>
        </w:rPr>
        <w:t>5.2 OBJECTIVE EVALUATION FOR SQ RESPONSES RECEIVED</w:t>
      </w:r>
      <w:bookmarkEnd w:id="21"/>
      <w:r>
        <w:rPr>
          <w:rFonts w:ascii="Arial" w:eastAsia="Arial" w:hAnsi="Arial" w:cs="Arial"/>
          <w:i w:val="0"/>
          <w:color w:val="000000"/>
        </w:rPr>
        <w:t xml:space="preserve"> </w:t>
      </w:r>
    </w:p>
    <w:p w14:paraId="11AA2ABC" w14:textId="69CBDB15"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Evaluation of the SQ will be objective. Answers provided by the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in response to questions contained within the event in the </w:t>
      </w:r>
      <w:r w:rsidR="009E54E0">
        <w:rPr>
          <w:rFonts w:ascii="Arial" w:eastAsia="Arial" w:hAnsi="Arial" w:cs="Arial"/>
          <w:color w:val="000000"/>
          <w:sz w:val="24"/>
          <w:szCs w:val="24"/>
        </w:rPr>
        <w:t>e</w:t>
      </w:r>
      <w:r>
        <w:rPr>
          <w:rFonts w:ascii="Arial" w:eastAsia="Arial" w:hAnsi="Arial" w:cs="Arial"/>
          <w:color w:val="000000"/>
          <w:sz w:val="24"/>
          <w:szCs w:val="24"/>
        </w:rPr>
        <w:t>Sourcing suite, questionnaires will be evaluated against the experience referred to in the questions stated in the SQ.</w:t>
      </w:r>
    </w:p>
    <w:p w14:paraId="483625BE" w14:textId="67AC13F5" w:rsidR="006C3CE9" w:rsidRDefault="008850BA">
      <w:pPr>
        <w:pStyle w:val="Heading4"/>
        <w:spacing w:before="0" w:after="240"/>
        <w:jc w:val="both"/>
        <w:rPr>
          <w:rFonts w:ascii="Arial" w:eastAsia="Arial" w:hAnsi="Arial" w:cs="Arial"/>
          <w:i w:val="0"/>
          <w:color w:val="000000"/>
        </w:rPr>
      </w:pPr>
      <w:bookmarkStart w:id="22" w:name="_Toc533068859"/>
      <w:r>
        <w:rPr>
          <w:rFonts w:ascii="Arial" w:eastAsia="Arial" w:hAnsi="Arial" w:cs="Arial"/>
          <w:i w:val="0"/>
          <w:color w:val="000000"/>
        </w:rPr>
        <w:t>5.</w:t>
      </w:r>
      <w:r w:rsidR="000E5854">
        <w:rPr>
          <w:rFonts w:ascii="Arial" w:eastAsia="Arial" w:hAnsi="Arial" w:cs="Arial"/>
          <w:i w:val="0"/>
          <w:color w:val="000000"/>
        </w:rPr>
        <w:t>3</w:t>
      </w:r>
      <w:r>
        <w:rPr>
          <w:rFonts w:ascii="Arial" w:eastAsia="Arial" w:hAnsi="Arial" w:cs="Arial"/>
          <w:i w:val="0"/>
          <w:color w:val="000000"/>
        </w:rPr>
        <w:t xml:space="preserve"> SQ DOWN SELECT AWARD</w:t>
      </w:r>
      <w:bookmarkEnd w:id="22"/>
      <w:r>
        <w:rPr>
          <w:rFonts w:ascii="Arial" w:eastAsia="Arial" w:hAnsi="Arial" w:cs="Arial"/>
          <w:i w:val="0"/>
          <w:color w:val="000000"/>
        </w:rPr>
        <w:t xml:space="preserve"> </w:t>
      </w:r>
    </w:p>
    <w:p w14:paraId="6052D3BF" w14:textId="6598F0E1" w:rsidR="006C3CE9" w:rsidRDefault="008850BA">
      <w:pPr>
        <w:pStyle w:val="Normal1"/>
        <w:spacing w:after="240"/>
        <w:ind w:right="72"/>
        <w:jc w:val="both"/>
        <w:rPr>
          <w:rFonts w:ascii="Arial" w:eastAsia="Arial" w:hAnsi="Arial" w:cs="Arial"/>
          <w:color w:val="000000"/>
          <w:sz w:val="24"/>
          <w:szCs w:val="24"/>
          <w:lang w:val="en-GB"/>
        </w:rPr>
      </w:pPr>
      <w:bookmarkStart w:id="23" w:name="_3dy6vkm" w:colFirst="0" w:colLast="0"/>
      <w:bookmarkEnd w:id="23"/>
      <w:r>
        <w:rPr>
          <w:rFonts w:ascii="Arial" w:eastAsia="Arial" w:hAnsi="Arial" w:cs="Arial"/>
          <w:color w:val="000000"/>
          <w:sz w:val="24"/>
          <w:szCs w:val="24"/>
          <w:lang w:val="en-GB"/>
        </w:rPr>
        <w:t>Having regard to the Authority's requirements for services consisting of the administration of a defined benefit pension scheme as described in the OJEU Notice and this Descriptive Document (the "</w:t>
      </w:r>
      <w:r>
        <w:rPr>
          <w:rFonts w:ascii="Arial" w:eastAsia="Arial" w:hAnsi="Arial" w:cs="Arial"/>
          <w:b/>
          <w:color w:val="000000"/>
          <w:sz w:val="24"/>
          <w:szCs w:val="24"/>
          <w:lang w:val="en-GB"/>
        </w:rPr>
        <w:t>Authority Requirements</w:t>
      </w:r>
      <w:r>
        <w:rPr>
          <w:rFonts w:ascii="Arial" w:eastAsia="Arial" w:hAnsi="Arial" w:cs="Arial"/>
          <w:color w:val="000000"/>
          <w:sz w:val="24"/>
          <w:szCs w:val="24"/>
          <w:lang w:val="en-GB"/>
        </w:rPr>
        <w:t xml:space="preserve">"), </w:t>
      </w:r>
      <w:r w:rsidR="00D47F48">
        <w:rPr>
          <w:rFonts w:ascii="Arial" w:eastAsia="Arial" w:hAnsi="Arial" w:cs="Arial"/>
          <w:color w:val="000000"/>
          <w:sz w:val="24"/>
          <w:szCs w:val="24"/>
          <w:lang w:val="en-GB"/>
        </w:rPr>
        <w:t>Potential Bidders</w:t>
      </w:r>
      <w:r>
        <w:rPr>
          <w:rFonts w:ascii="Arial" w:eastAsia="Arial" w:hAnsi="Arial" w:cs="Arial"/>
          <w:color w:val="000000"/>
          <w:sz w:val="24"/>
          <w:szCs w:val="24"/>
          <w:lang w:val="en-GB"/>
        </w:rPr>
        <w:t xml:space="preserve"> </w:t>
      </w:r>
      <w:r>
        <w:rPr>
          <w:rFonts w:ascii="Arial" w:eastAsia="Arial" w:hAnsi="Arial" w:cs="Arial"/>
          <w:color w:val="000000"/>
          <w:sz w:val="24"/>
          <w:szCs w:val="24"/>
          <w:lang w:val="en-GB"/>
        </w:rPr>
        <w:lastRenderedPageBreak/>
        <w:t>must provide evidence of a relevant previous contract or contracts (up to a maximum of two) (the "</w:t>
      </w:r>
      <w:r>
        <w:rPr>
          <w:rFonts w:ascii="Arial" w:eastAsia="Arial" w:hAnsi="Arial" w:cs="Arial"/>
          <w:b/>
          <w:color w:val="000000"/>
          <w:sz w:val="24"/>
          <w:szCs w:val="24"/>
          <w:lang w:val="en-GB"/>
        </w:rPr>
        <w:t>Relevant Contract(s)</w:t>
      </w:r>
      <w:r>
        <w:rPr>
          <w:rFonts w:ascii="Arial" w:eastAsia="Arial" w:hAnsi="Arial" w:cs="Arial"/>
          <w:color w:val="000000"/>
          <w:sz w:val="24"/>
          <w:szCs w:val="24"/>
          <w:lang w:val="en-GB"/>
        </w:rPr>
        <w:t xml:space="preserve">") that the Potential </w:t>
      </w:r>
      <w:r w:rsidR="00CE620E">
        <w:rPr>
          <w:rFonts w:ascii="Arial" w:eastAsia="Arial" w:hAnsi="Arial" w:cs="Arial"/>
          <w:color w:val="000000"/>
          <w:sz w:val="24"/>
          <w:szCs w:val="24"/>
          <w:lang w:val="en-GB"/>
        </w:rPr>
        <w:t>Bidder</w:t>
      </w:r>
      <w:r>
        <w:rPr>
          <w:rFonts w:ascii="Arial" w:eastAsia="Arial" w:hAnsi="Arial" w:cs="Arial"/>
          <w:color w:val="000000"/>
          <w:sz w:val="24"/>
          <w:szCs w:val="24"/>
          <w:lang w:val="en-GB"/>
        </w:rPr>
        <w:t xml:space="preserve"> (or any organisation that the Potential </w:t>
      </w:r>
      <w:r w:rsidR="00CE620E">
        <w:rPr>
          <w:rFonts w:ascii="Arial" w:eastAsia="Arial" w:hAnsi="Arial" w:cs="Arial"/>
          <w:color w:val="000000"/>
          <w:sz w:val="24"/>
          <w:szCs w:val="24"/>
          <w:lang w:val="en-GB"/>
        </w:rPr>
        <w:t>Bidder</w:t>
      </w:r>
      <w:r>
        <w:rPr>
          <w:rFonts w:ascii="Arial" w:eastAsia="Arial" w:hAnsi="Arial" w:cs="Arial"/>
          <w:color w:val="000000"/>
          <w:sz w:val="24"/>
          <w:szCs w:val="24"/>
          <w:lang w:val="en-GB"/>
        </w:rPr>
        <w:t xml:space="preserve"> intends to partner with for this Contract), has successfully delivered in the two (2) year period prior to the </w:t>
      </w:r>
      <w:r w:rsidR="0038571A">
        <w:rPr>
          <w:rFonts w:ascii="Arial" w:eastAsia="Arial" w:hAnsi="Arial" w:cs="Arial"/>
          <w:color w:val="000000"/>
          <w:sz w:val="24"/>
          <w:szCs w:val="24"/>
          <w:lang w:val="en-GB"/>
        </w:rPr>
        <w:t>20</w:t>
      </w:r>
      <w:r w:rsidR="0038571A" w:rsidRPr="0038571A">
        <w:rPr>
          <w:rFonts w:ascii="Arial" w:eastAsia="Arial" w:hAnsi="Arial" w:cs="Arial"/>
          <w:color w:val="000000"/>
          <w:sz w:val="24"/>
          <w:szCs w:val="24"/>
          <w:vertAlign w:val="superscript"/>
          <w:lang w:val="en-GB"/>
        </w:rPr>
        <w:t>th</w:t>
      </w:r>
      <w:r w:rsidR="0038571A">
        <w:rPr>
          <w:rFonts w:ascii="Arial" w:eastAsia="Arial" w:hAnsi="Arial" w:cs="Arial"/>
          <w:color w:val="000000"/>
          <w:sz w:val="24"/>
          <w:szCs w:val="24"/>
          <w:lang w:val="en-GB"/>
        </w:rPr>
        <w:t xml:space="preserve"> December 2018,</w:t>
      </w:r>
      <w:r>
        <w:rPr>
          <w:rFonts w:ascii="Arial" w:eastAsia="Arial" w:hAnsi="Arial" w:cs="Arial"/>
          <w:color w:val="000000"/>
          <w:sz w:val="24"/>
          <w:szCs w:val="24"/>
          <w:lang w:val="en-GB"/>
        </w:rPr>
        <w:t xml:space="preserve"> to a customer in the public or private sector, where similar requirements to those sought under this procurement have been performed.  </w:t>
      </w:r>
    </w:p>
    <w:p w14:paraId="64922B8A" w14:textId="6D5FE162"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 xml:space="preserve">Where the Potential </w:t>
      </w:r>
      <w:r w:rsidR="00CE620E">
        <w:rPr>
          <w:rFonts w:ascii="Arial" w:eastAsia="Arial" w:hAnsi="Arial" w:cs="Arial"/>
          <w:color w:val="000000"/>
          <w:sz w:val="24"/>
          <w:szCs w:val="24"/>
          <w:lang w:val="en-GB"/>
        </w:rPr>
        <w:t>Bidder</w:t>
      </w:r>
      <w:r>
        <w:rPr>
          <w:rFonts w:ascii="Arial" w:eastAsia="Arial" w:hAnsi="Arial" w:cs="Arial"/>
          <w:color w:val="000000"/>
          <w:sz w:val="24"/>
          <w:szCs w:val="24"/>
          <w:lang w:val="en-GB"/>
        </w:rPr>
        <w:t xml:space="preserve"> (or the partner organisations) only has evidence that is older than two (2) years then this may be provided but the Potential </w:t>
      </w:r>
      <w:r w:rsidR="00CE620E">
        <w:rPr>
          <w:rFonts w:ascii="Arial" w:eastAsia="Arial" w:hAnsi="Arial" w:cs="Arial"/>
          <w:color w:val="000000"/>
          <w:sz w:val="24"/>
          <w:szCs w:val="24"/>
          <w:lang w:val="en-GB"/>
        </w:rPr>
        <w:t>Bidder</w:t>
      </w:r>
      <w:r>
        <w:rPr>
          <w:rFonts w:ascii="Arial" w:eastAsia="Arial" w:hAnsi="Arial" w:cs="Arial"/>
          <w:color w:val="000000"/>
          <w:sz w:val="24"/>
          <w:szCs w:val="24"/>
          <w:lang w:val="en-GB"/>
        </w:rPr>
        <w:t xml:space="preserve"> should explain how this remains valid and relevant and demonstrate that appropriate knowledge has been retained such that the required experience, which is relevant to the Authority Requirements, is still held.</w:t>
      </w:r>
    </w:p>
    <w:p w14:paraId="569D2F37" w14:textId="23AFE909"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 xml:space="preserve">Please note that for the response to each question </w:t>
      </w:r>
      <w:r w:rsidR="00D47F48">
        <w:rPr>
          <w:rFonts w:ascii="Arial" w:eastAsia="Arial" w:hAnsi="Arial" w:cs="Arial"/>
          <w:color w:val="000000"/>
          <w:sz w:val="24"/>
          <w:szCs w:val="24"/>
          <w:lang w:val="en-GB"/>
        </w:rPr>
        <w:t>Potential Bidders</w:t>
      </w:r>
      <w:r>
        <w:rPr>
          <w:rFonts w:ascii="Arial" w:eastAsia="Arial" w:hAnsi="Arial" w:cs="Arial"/>
          <w:color w:val="000000"/>
          <w:sz w:val="24"/>
          <w:szCs w:val="24"/>
          <w:lang w:val="en-GB"/>
        </w:rPr>
        <w:t xml:space="preserve"> are limited to a maximum of </w:t>
      </w:r>
      <w:r w:rsidR="005D25EB">
        <w:rPr>
          <w:rFonts w:ascii="Arial" w:eastAsia="Arial" w:hAnsi="Arial" w:cs="Arial"/>
          <w:color w:val="000000"/>
          <w:sz w:val="24"/>
          <w:szCs w:val="24"/>
          <w:lang w:val="en-GB"/>
        </w:rPr>
        <w:t>2</w:t>
      </w:r>
      <w:r>
        <w:rPr>
          <w:rFonts w:ascii="Arial" w:eastAsia="Arial" w:hAnsi="Arial" w:cs="Arial"/>
          <w:color w:val="000000"/>
          <w:sz w:val="24"/>
          <w:szCs w:val="24"/>
          <w:lang w:val="en-GB"/>
        </w:rPr>
        <w:t>000 characters.</w:t>
      </w:r>
    </w:p>
    <w:p w14:paraId="672921E7" w14:textId="77777777" w:rsidR="006C3CE9" w:rsidRDefault="008850BA">
      <w:pPr>
        <w:pStyle w:val="Normal1"/>
        <w:spacing w:after="240"/>
        <w:ind w:right="72"/>
        <w:jc w:val="both"/>
        <w:rPr>
          <w:rFonts w:ascii="Arial" w:eastAsia="Arial" w:hAnsi="Arial" w:cs="Arial"/>
          <w:b/>
          <w:color w:val="000000"/>
          <w:sz w:val="24"/>
          <w:szCs w:val="24"/>
          <w:u w:val="single"/>
          <w:lang w:val="en-GB"/>
        </w:rPr>
      </w:pPr>
      <w:r>
        <w:rPr>
          <w:rFonts w:ascii="Arial" w:eastAsia="Arial" w:hAnsi="Arial" w:cs="Arial"/>
          <w:b/>
          <w:color w:val="000000"/>
          <w:sz w:val="24"/>
          <w:szCs w:val="24"/>
          <w:u w:val="single"/>
          <w:lang w:val="en-GB"/>
        </w:rPr>
        <w:t>Technical questions</w:t>
      </w:r>
    </w:p>
    <w:tbl>
      <w:tblPr>
        <w:tblW w:w="9090" w:type="dxa"/>
        <w:tblInd w:w="198" w:type="dxa"/>
        <w:tblLayout w:type="fixed"/>
        <w:tblLook w:val="04A0" w:firstRow="1" w:lastRow="0" w:firstColumn="1" w:lastColumn="0" w:noHBand="0" w:noVBand="1"/>
      </w:tblPr>
      <w:tblGrid>
        <w:gridCol w:w="1470"/>
        <w:gridCol w:w="7620"/>
      </w:tblGrid>
      <w:tr w:rsidR="006C3CE9" w14:paraId="1E0BD993" w14:textId="77777777" w:rsidTr="00CC1D24">
        <w:trPr>
          <w:trHeight w:val="520"/>
        </w:trPr>
        <w:tc>
          <w:tcPr>
            <w:tcW w:w="1470" w:type="dxa"/>
            <w:tcBorders>
              <w:top w:val="single" w:sz="4" w:space="0" w:color="auto"/>
              <w:left w:val="single" w:sz="4" w:space="0" w:color="auto"/>
              <w:bottom w:val="single" w:sz="4" w:space="0" w:color="auto"/>
              <w:right w:val="single" w:sz="4" w:space="0" w:color="auto"/>
            </w:tcBorders>
            <w:shd w:val="clear" w:color="000000" w:fill="FFFFFF"/>
          </w:tcPr>
          <w:p w14:paraId="30067B5A" w14:textId="77777777" w:rsidR="006C3CE9" w:rsidRDefault="008850BA">
            <w:pPr>
              <w:pStyle w:val="Normal1"/>
              <w:spacing w:after="240"/>
              <w:ind w:right="72"/>
              <w:jc w:val="both"/>
              <w:rPr>
                <w:rFonts w:ascii="Arial" w:eastAsia="Arial" w:hAnsi="Arial" w:cs="Arial"/>
                <w:b/>
                <w:color w:val="000000"/>
                <w:sz w:val="24"/>
                <w:szCs w:val="24"/>
                <w:lang w:val="en-GB"/>
              </w:rPr>
            </w:pPr>
            <w:r>
              <w:rPr>
                <w:rFonts w:ascii="Arial" w:eastAsia="Arial" w:hAnsi="Arial" w:cs="Arial"/>
                <w:b/>
                <w:color w:val="000000"/>
                <w:sz w:val="24"/>
                <w:szCs w:val="24"/>
                <w:lang w:val="en-GB"/>
              </w:rPr>
              <w:t>Question</w:t>
            </w:r>
          </w:p>
        </w:tc>
        <w:tc>
          <w:tcPr>
            <w:tcW w:w="7620" w:type="dxa"/>
            <w:tcBorders>
              <w:top w:val="single" w:sz="4" w:space="0" w:color="auto"/>
              <w:left w:val="single" w:sz="4" w:space="0" w:color="auto"/>
              <w:bottom w:val="single" w:sz="4" w:space="0" w:color="auto"/>
              <w:right w:val="single" w:sz="4" w:space="0" w:color="auto"/>
            </w:tcBorders>
            <w:shd w:val="clear" w:color="000000" w:fill="FFFFFF"/>
            <w:hideMark/>
          </w:tcPr>
          <w:p w14:paraId="03B6FCC6" w14:textId="77777777" w:rsidR="006C3CE9" w:rsidRDefault="008850BA">
            <w:pPr>
              <w:pStyle w:val="Normal1"/>
              <w:spacing w:after="240"/>
              <w:ind w:right="72"/>
              <w:jc w:val="both"/>
              <w:rPr>
                <w:rFonts w:ascii="Arial" w:eastAsia="Arial" w:hAnsi="Arial" w:cs="Arial"/>
                <w:b/>
                <w:color w:val="000000"/>
                <w:sz w:val="24"/>
                <w:szCs w:val="24"/>
                <w:lang w:val="en-GB"/>
              </w:rPr>
            </w:pPr>
            <w:r>
              <w:rPr>
                <w:rFonts w:ascii="Arial" w:eastAsia="Arial" w:hAnsi="Arial" w:cs="Arial"/>
                <w:b/>
                <w:color w:val="000000"/>
                <w:sz w:val="24"/>
                <w:szCs w:val="24"/>
                <w:lang w:val="en-GB"/>
              </w:rPr>
              <w:t>Question</w:t>
            </w:r>
          </w:p>
        </w:tc>
      </w:tr>
      <w:tr w:rsidR="006C3CE9" w14:paraId="12178460" w14:textId="77777777" w:rsidTr="00CC1D24">
        <w:trPr>
          <w:trHeight w:val="1007"/>
        </w:trPr>
        <w:tc>
          <w:tcPr>
            <w:tcW w:w="1470" w:type="dxa"/>
            <w:tcBorders>
              <w:top w:val="nil"/>
              <w:left w:val="single" w:sz="4" w:space="0" w:color="auto"/>
              <w:bottom w:val="single" w:sz="4" w:space="0" w:color="auto"/>
              <w:right w:val="single" w:sz="4" w:space="0" w:color="auto"/>
            </w:tcBorders>
            <w:shd w:val="clear" w:color="000000" w:fill="FFFFFF"/>
          </w:tcPr>
          <w:p w14:paraId="47A6A53C"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1</w:t>
            </w:r>
          </w:p>
        </w:tc>
        <w:tc>
          <w:tcPr>
            <w:tcW w:w="7620" w:type="dxa"/>
            <w:tcBorders>
              <w:top w:val="nil"/>
              <w:left w:val="single" w:sz="4" w:space="0" w:color="auto"/>
              <w:bottom w:val="single" w:sz="4" w:space="0" w:color="auto"/>
              <w:right w:val="single" w:sz="4" w:space="0" w:color="auto"/>
            </w:tcBorders>
            <w:shd w:val="clear" w:color="000000" w:fill="FFFFFF"/>
            <w:noWrap/>
            <w:vAlign w:val="bottom"/>
            <w:hideMark/>
          </w:tcPr>
          <w:p w14:paraId="5F1DB78D"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b/>
                <w:color w:val="000000"/>
                <w:sz w:val="24"/>
                <w:szCs w:val="24"/>
                <w:u w:val="single"/>
                <w:lang w:val="en-GB"/>
              </w:rPr>
              <w:t>Scheme characteristics</w:t>
            </w:r>
            <w:r>
              <w:rPr>
                <w:rFonts w:ascii="Arial" w:eastAsia="Arial" w:hAnsi="Arial" w:cs="Arial"/>
                <w:color w:val="000000"/>
                <w:sz w:val="24"/>
                <w:szCs w:val="24"/>
                <w:lang w:val="en-GB"/>
              </w:rPr>
              <w:t xml:space="preserve"> - Describe the start and end date and duration of the Relevant Contract(s), scheme size (including number of members), complexity and status (including whether it was an open scheme and whether there was one scheme or several)</w:t>
            </w:r>
          </w:p>
        </w:tc>
      </w:tr>
      <w:tr w:rsidR="006C3CE9" w14:paraId="09FEE0A5" w14:textId="77777777" w:rsidTr="00CC1D24">
        <w:trPr>
          <w:trHeight w:val="800"/>
        </w:trPr>
        <w:tc>
          <w:tcPr>
            <w:tcW w:w="1470" w:type="dxa"/>
            <w:tcBorders>
              <w:top w:val="nil"/>
              <w:left w:val="single" w:sz="4" w:space="0" w:color="auto"/>
              <w:bottom w:val="single" w:sz="4" w:space="0" w:color="auto"/>
              <w:right w:val="single" w:sz="4" w:space="0" w:color="auto"/>
            </w:tcBorders>
            <w:shd w:val="clear" w:color="000000" w:fill="FFFFFF"/>
          </w:tcPr>
          <w:p w14:paraId="2B3E1CC9"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2</w:t>
            </w:r>
          </w:p>
        </w:tc>
        <w:tc>
          <w:tcPr>
            <w:tcW w:w="7620" w:type="dxa"/>
            <w:tcBorders>
              <w:top w:val="nil"/>
              <w:left w:val="single" w:sz="4" w:space="0" w:color="auto"/>
              <w:bottom w:val="single" w:sz="4" w:space="0" w:color="auto"/>
              <w:right w:val="single" w:sz="4" w:space="0" w:color="auto"/>
            </w:tcBorders>
            <w:shd w:val="clear" w:color="000000" w:fill="FFFFFF"/>
            <w:noWrap/>
            <w:vAlign w:val="bottom"/>
            <w:hideMark/>
          </w:tcPr>
          <w:p w14:paraId="08E3108F" w14:textId="00BF44B2"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b/>
                <w:color w:val="000000"/>
                <w:sz w:val="24"/>
                <w:szCs w:val="24"/>
                <w:u w:val="single"/>
                <w:lang w:val="en-GB"/>
              </w:rPr>
              <w:t>Management Model</w:t>
            </w:r>
            <w:r>
              <w:rPr>
                <w:rFonts w:ascii="Arial" w:eastAsia="Arial" w:hAnsi="Arial" w:cs="Arial"/>
                <w:color w:val="000000"/>
                <w:sz w:val="24"/>
                <w:szCs w:val="24"/>
                <w:lang w:val="en-GB"/>
              </w:rPr>
              <w:t xml:space="preserve"> - explain the nature of the </w:t>
            </w:r>
            <w:r w:rsidR="00D47F48">
              <w:rPr>
                <w:rFonts w:ascii="Arial" w:eastAsia="Arial" w:hAnsi="Arial" w:cs="Arial"/>
                <w:color w:val="000000"/>
                <w:sz w:val="24"/>
                <w:szCs w:val="24"/>
                <w:lang w:val="en-GB"/>
              </w:rPr>
              <w:t>Potential Bidders</w:t>
            </w:r>
            <w:r>
              <w:rPr>
                <w:rFonts w:ascii="Arial" w:eastAsia="Arial" w:hAnsi="Arial" w:cs="Arial"/>
                <w:color w:val="000000"/>
                <w:sz w:val="24"/>
                <w:szCs w:val="24"/>
                <w:lang w:val="en-GB"/>
              </w:rPr>
              <w:t xml:space="preserve"> role (or that of the partner organisations - if applicable) in relation to the Relevant Contract. Describe any supply chain relationships that were managed in the provision of the service</w:t>
            </w:r>
          </w:p>
        </w:tc>
      </w:tr>
      <w:tr w:rsidR="006C3CE9" w14:paraId="6AD5ED4F" w14:textId="77777777" w:rsidTr="00CC1D24">
        <w:trPr>
          <w:trHeight w:val="530"/>
        </w:trPr>
        <w:tc>
          <w:tcPr>
            <w:tcW w:w="1470" w:type="dxa"/>
            <w:tcBorders>
              <w:top w:val="nil"/>
              <w:left w:val="single" w:sz="4" w:space="0" w:color="auto"/>
              <w:bottom w:val="single" w:sz="4" w:space="0" w:color="auto"/>
              <w:right w:val="single" w:sz="4" w:space="0" w:color="auto"/>
            </w:tcBorders>
            <w:shd w:val="clear" w:color="000000" w:fill="FFFFFF"/>
          </w:tcPr>
          <w:p w14:paraId="11FCD13E"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3</w:t>
            </w:r>
          </w:p>
        </w:tc>
        <w:tc>
          <w:tcPr>
            <w:tcW w:w="7620" w:type="dxa"/>
            <w:tcBorders>
              <w:top w:val="nil"/>
              <w:left w:val="single" w:sz="4" w:space="0" w:color="auto"/>
              <w:bottom w:val="single" w:sz="4" w:space="0" w:color="auto"/>
              <w:right w:val="single" w:sz="4" w:space="0" w:color="auto"/>
            </w:tcBorders>
            <w:shd w:val="clear" w:color="000000" w:fill="FFFFFF"/>
            <w:noWrap/>
            <w:vAlign w:val="bottom"/>
            <w:hideMark/>
          </w:tcPr>
          <w:p w14:paraId="2AF3ECF3" w14:textId="2F3D7F5D" w:rsidR="006C3CE9" w:rsidRDefault="008850BA" w:rsidP="00CE620E">
            <w:pPr>
              <w:pStyle w:val="Normal1"/>
              <w:spacing w:after="240"/>
              <w:ind w:right="72"/>
              <w:jc w:val="both"/>
              <w:rPr>
                <w:rFonts w:ascii="Arial" w:eastAsia="Arial" w:hAnsi="Arial" w:cs="Arial"/>
                <w:color w:val="000000"/>
                <w:sz w:val="24"/>
                <w:szCs w:val="24"/>
                <w:lang w:val="en-GB"/>
              </w:rPr>
            </w:pPr>
            <w:r>
              <w:rPr>
                <w:rFonts w:ascii="Arial" w:eastAsia="Arial" w:hAnsi="Arial" w:cs="Arial"/>
                <w:b/>
                <w:color w:val="000000"/>
                <w:sz w:val="24"/>
                <w:szCs w:val="24"/>
                <w:u w:val="single"/>
                <w:lang w:val="en-GB"/>
              </w:rPr>
              <w:t>Staff</w:t>
            </w:r>
            <w:r>
              <w:rPr>
                <w:rFonts w:ascii="Arial" w:eastAsia="Arial" w:hAnsi="Arial" w:cs="Arial"/>
                <w:color w:val="000000"/>
                <w:sz w:val="24"/>
                <w:szCs w:val="24"/>
                <w:lang w:val="en-GB"/>
              </w:rPr>
              <w:t xml:space="preserve"> - explain how the Potential </w:t>
            </w:r>
            <w:r w:rsidR="00CE620E">
              <w:rPr>
                <w:rFonts w:ascii="Arial" w:eastAsia="Arial" w:hAnsi="Arial" w:cs="Arial"/>
                <w:color w:val="000000"/>
                <w:sz w:val="24"/>
                <w:szCs w:val="24"/>
                <w:lang w:val="en-GB"/>
              </w:rPr>
              <w:t>Bidder</w:t>
            </w:r>
            <w:r>
              <w:rPr>
                <w:rFonts w:ascii="Arial" w:eastAsia="Arial" w:hAnsi="Arial" w:cs="Arial"/>
                <w:color w:val="000000"/>
                <w:sz w:val="24"/>
                <w:szCs w:val="24"/>
                <w:lang w:val="en-GB"/>
              </w:rPr>
              <w:t xml:space="preserve"> (or the partner organisations) attracted, retained and developed staff who worked on the Relevant Contract(s)</w:t>
            </w:r>
          </w:p>
        </w:tc>
      </w:tr>
      <w:tr w:rsidR="006C3CE9" w14:paraId="615CE929" w14:textId="77777777" w:rsidTr="00CC1D24">
        <w:trPr>
          <w:trHeight w:val="620"/>
        </w:trPr>
        <w:tc>
          <w:tcPr>
            <w:tcW w:w="1470" w:type="dxa"/>
            <w:tcBorders>
              <w:top w:val="nil"/>
              <w:left w:val="single" w:sz="4" w:space="0" w:color="auto"/>
              <w:bottom w:val="single" w:sz="4" w:space="0" w:color="auto"/>
              <w:right w:val="single" w:sz="4" w:space="0" w:color="auto"/>
            </w:tcBorders>
            <w:shd w:val="clear" w:color="000000" w:fill="FFFFFF"/>
          </w:tcPr>
          <w:p w14:paraId="2BFDD108"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4</w:t>
            </w:r>
          </w:p>
        </w:tc>
        <w:tc>
          <w:tcPr>
            <w:tcW w:w="7620" w:type="dxa"/>
            <w:tcBorders>
              <w:top w:val="nil"/>
              <w:left w:val="single" w:sz="4" w:space="0" w:color="auto"/>
              <w:bottom w:val="single" w:sz="4" w:space="0" w:color="auto"/>
              <w:right w:val="single" w:sz="4" w:space="0" w:color="auto"/>
            </w:tcBorders>
            <w:shd w:val="clear" w:color="000000" w:fill="FFFFFF"/>
            <w:noWrap/>
            <w:vAlign w:val="bottom"/>
            <w:hideMark/>
          </w:tcPr>
          <w:p w14:paraId="4348F7F2" w14:textId="55A5F627" w:rsidR="006C3CE9" w:rsidRDefault="008850BA" w:rsidP="00CE620E">
            <w:pPr>
              <w:pStyle w:val="Normal1"/>
              <w:spacing w:after="240"/>
              <w:ind w:right="72"/>
              <w:jc w:val="both"/>
              <w:rPr>
                <w:rFonts w:ascii="Arial" w:eastAsia="Arial" w:hAnsi="Arial" w:cs="Arial"/>
                <w:color w:val="000000"/>
                <w:sz w:val="24"/>
                <w:szCs w:val="24"/>
                <w:lang w:val="en-GB"/>
              </w:rPr>
            </w:pPr>
            <w:r>
              <w:rPr>
                <w:rFonts w:ascii="Arial" w:eastAsia="Arial" w:hAnsi="Arial" w:cs="Arial"/>
                <w:b/>
                <w:color w:val="000000"/>
                <w:sz w:val="24"/>
                <w:szCs w:val="24"/>
                <w:u w:val="single"/>
                <w:lang w:val="en-GB"/>
              </w:rPr>
              <w:t>Multi-party stakeholder relationships</w:t>
            </w:r>
            <w:r>
              <w:rPr>
                <w:rFonts w:ascii="Arial" w:eastAsia="Arial" w:hAnsi="Arial" w:cs="Arial"/>
                <w:color w:val="000000"/>
                <w:sz w:val="24"/>
                <w:szCs w:val="24"/>
                <w:lang w:val="en-GB"/>
              </w:rPr>
              <w:t xml:space="preserve"> - explain how the Potential </w:t>
            </w:r>
            <w:r w:rsidR="00CE620E">
              <w:rPr>
                <w:rFonts w:ascii="Arial" w:eastAsia="Arial" w:hAnsi="Arial" w:cs="Arial"/>
                <w:color w:val="000000"/>
                <w:sz w:val="24"/>
                <w:szCs w:val="24"/>
                <w:lang w:val="en-GB"/>
              </w:rPr>
              <w:t>Bidder</w:t>
            </w:r>
            <w:r>
              <w:rPr>
                <w:rFonts w:ascii="Arial" w:eastAsia="Arial" w:hAnsi="Arial" w:cs="Arial"/>
                <w:color w:val="000000"/>
                <w:sz w:val="24"/>
                <w:szCs w:val="24"/>
                <w:lang w:val="en-GB"/>
              </w:rPr>
              <w:t xml:space="preserve"> (or the partner organisations - if applicable) successfully managed multiple stakeholders (i.e. members, employers) in relation to the Relevant Contract(s)</w:t>
            </w:r>
          </w:p>
        </w:tc>
      </w:tr>
      <w:tr w:rsidR="006C3CE9" w14:paraId="4BAFDBC6" w14:textId="77777777" w:rsidTr="00CC1D24">
        <w:trPr>
          <w:trHeight w:val="800"/>
        </w:trPr>
        <w:tc>
          <w:tcPr>
            <w:tcW w:w="1470" w:type="dxa"/>
            <w:tcBorders>
              <w:top w:val="nil"/>
              <w:left w:val="single" w:sz="4" w:space="0" w:color="auto"/>
              <w:bottom w:val="single" w:sz="4" w:space="0" w:color="auto"/>
              <w:right w:val="single" w:sz="4" w:space="0" w:color="auto"/>
            </w:tcBorders>
            <w:shd w:val="clear" w:color="000000" w:fill="FFFFFF"/>
          </w:tcPr>
          <w:p w14:paraId="4469B976"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5</w:t>
            </w:r>
          </w:p>
        </w:tc>
        <w:tc>
          <w:tcPr>
            <w:tcW w:w="7620" w:type="dxa"/>
            <w:tcBorders>
              <w:top w:val="nil"/>
              <w:left w:val="single" w:sz="4" w:space="0" w:color="auto"/>
              <w:bottom w:val="single" w:sz="4" w:space="0" w:color="auto"/>
              <w:right w:val="single" w:sz="4" w:space="0" w:color="auto"/>
            </w:tcBorders>
            <w:shd w:val="clear" w:color="000000" w:fill="FFFFFF"/>
            <w:noWrap/>
            <w:vAlign w:val="bottom"/>
            <w:hideMark/>
          </w:tcPr>
          <w:p w14:paraId="26FCCF77" w14:textId="4B7B6BDC" w:rsidR="006C3CE9" w:rsidRDefault="008850BA" w:rsidP="00CE620E">
            <w:pPr>
              <w:pStyle w:val="Normal1"/>
              <w:spacing w:after="240"/>
              <w:ind w:right="72"/>
              <w:jc w:val="both"/>
              <w:rPr>
                <w:rFonts w:ascii="Arial" w:eastAsia="Arial" w:hAnsi="Arial" w:cs="Arial"/>
                <w:color w:val="000000"/>
                <w:sz w:val="24"/>
                <w:szCs w:val="24"/>
                <w:lang w:val="en-GB"/>
              </w:rPr>
            </w:pPr>
            <w:r>
              <w:rPr>
                <w:rFonts w:ascii="Arial" w:eastAsia="Arial" w:hAnsi="Arial" w:cs="Arial"/>
                <w:b/>
                <w:color w:val="000000"/>
                <w:sz w:val="24"/>
                <w:szCs w:val="24"/>
                <w:u w:val="single"/>
                <w:lang w:val="en-GB"/>
              </w:rPr>
              <w:t>Innovation</w:t>
            </w:r>
            <w:r>
              <w:rPr>
                <w:rFonts w:ascii="Arial" w:eastAsia="Arial" w:hAnsi="Arial" w:cs="Arial"/>
                <w:color w:val="000000"/>
                <w:sz w:val="24"/>
                <w:szCs w:val="24"/>
                <w:lang w:val="en-GB"/>
              </w:rPr>
              <w:t xml:space="preserve"> - describe any service innovations that the Potential </w:t>
            </w:r>
            <w:r w:rsidR="00CE620E">
              <w:rPr>
                <w:rFonts w:ascii="Arial" w:eastAsia="Arial" w:hAnsi="Arial" w:cs="Arial"/>
                <w:color w:val="000000"/>
                <w:sz w:val="24"/>
                <w:szCs w:val="24"/>
                <w:lang w:val="en-GB"/>
              </w:rPr>
              <w:t>Bidder</w:t>
            </w:r>
            <w:r>
              <w:rPr>
                <w:rFonts w:ascii="Arial" w:eastAsia="Arial" w:hAnsi="Arial" w:cs="Arial"/>
                <w:color w:val="000000"/>
                <w:sz w:val="24"/>
                <w:szCs w:val="24"/>
                <w:lang w:val="en-GB"/>
              </w:rPr>
              <w:t xml:space="preserve"> (or the partner organisations - if applicable) implemented in relation to the Relevant Contract(s). Describe the success/outcome of these innovations</w:t>
            </w:r>
          </w:p>
        </w:tc>
      </w:tr>
      <w:tr w:rsidR="006C3CE9" w14:paraId="510664EB" w14:textId="77777777" w:rsidTr="00CC1D24">
        <w:trPr>
          <w:trHeight w:val="710"/>
        </w:trPr>
        <w:tc>
          <w:tcPr>
            <w:tcW w:w="1470" w:type="dxa"/>
            <w:tcBorders>
              <w:top w:val="nil"/>
              <w:left w:val="single" w:sz="4" w:space="0" w:color="auto"/>
              <w:bottom w:val="single" w:sz="4" w:space="0" w:color="auto"/>
              <w:right w:val="single" w:sz="4" w:space="0" w:color="auto"/>
            </w:tcBorders>
            <w:shd w:val="clear" w:color="000000" w:fill="FFFFFF"/>
          </w:tcPr>
          <w:p w14:paraId="348F2913"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6</w:t>
            </w:r>
          </w:p>
        </w:tc>
        <w:tc>
          <w:tcPr>
            <w:tcW w:w="7620" w:type="dxa"/>
            <w:tcBorders>
              <w:top w:val="nil"/>
              <w:left w:val="single" w:sz="4" w:space="0" w:color="auto"/>
              <w:bottom w:val="single" w:sz="4" w:space="0" w:color="auto"/>
              <w:right w:val="single" w:sz="4" w:space="0" w:color="auto"/>
            </w:tcBorders>
            <w:shd w:val="clear" w:color="000000" w:fill="FFFFFF"/>
            <w:noWrap/>
            <w:vAlign w:val="bottom"/>
            <w:hideMark/>
          </w:tcPr>
          <w:p w14:paraId="73279830" w14:textId="66D65177" w:rsidR="006C3CE9" w:rsidRDefault="008850BA" w:rsidP="00CE620E">
            <w:pPr>
              <w:pStyle w:val="Normal1"/>
              <w:spacing w:after="240"/>
              <w:ind w:right="72"/>
              <w:jc w:val="both"/>
              <w:rPr>
                <w:rFonts w:ascii="Arial" w:eastAsia="Arial" w:hAnsi="Arial" w:cs="Arial"/>
                <w:color w:val="000000"/>
                <w:sz w:val="24"/>
                <w:szCs w:val="24"/>
                <w:lang w:val="en-GB"/>
              </w:rPr>
            </w:pPr>
            <w:r>
              <w:rPr>
                <w:rFonts w:ascii="Arial" w:eastAsia="Arial" w:hAnsi="Arial" w:cs="Arial"/>
                <w:b/>
                <w:color w:val="000000"/>
                <w:sz w:val="24"/>
                <w:szCs w:val="24"/>
                <w:u w:val="single"/>
                <w:lang w:val="en-GB"/>
              </w:rPr>
              <w:t>Knowledge Management</w:t>
            </w:r>
            <w:r>
              <w:rPr>
                <w:rFonts w:ascii="Arial" w:eastAsia="Arial" w:hAnsi="Arial" w:cs="Arial"/>
                <w:color w:val="000000"/>
                <w:sz w:val="24"/>
                <w:szCs w:val="24"/>
                <w:lang w:val="en-GB"/>
              </w:rPr>
              <w:t xml:space="preserve"> - give details of how the Potential </w:t>
            </w:r>
            <w:r w:rsidR="00CE620E">
              <w:rPr>
                <w:rFonts w:ascii="Arial" w:eastAsia="Arial" w:hAnsi="Arial" w:cs="Arial"/>
                <w:color w:val="000000"/>
                <w:sz w:val="24"/>
                <w:szCs w:val="24"/>
                <w:lang w:val="en-GB"/>
              </w:rPr>
              <w:t>Bidder</w:t>
            </w:r>
            <w:r>
              <w:rPr>
                <w:rFonts w:ascii="Arial" w:eastAsia="Arial" w:hAnsi="Arial" w:cs="Arial"/>
                <w:color w:val="000000"/>
                <w:sz w:val="24"/>
                <w:szCs w:val="24"/>
                <w:lang w:val="en-GB"/>
              </w:rPr>
              <w:t xml:space="preserve"> (or the partner organisations - if applicable) retained and used historic knowledge when taking over the pension scheme under the Relevant Contract(s)</w:t>
            </w:r>
          </w:p>
        </w:tc>
      </w:tr>
      <w:tr w:rsidR="006C3CE9" w14:paraId="6039AF2D" w14:textId="77777777" w:rsidTr="00CC1D24">
        <w:trPr>
          <w:trHeight w:val="530"/>
        </w:trPr>
        <w:tc>
          <w:tcPr>
            <w:tcW w:w="1470" w:type="dxa"/>
            <w:tcBorders>
              <w:top w:val="nil"/>
              <w:left w:val="single" w:sz="4" w:space="0" w:color="auto"/>
              <w:bottom w:val="single" w:sz="4" w:space="0" w:color="auto"/>
              <w:right w:val="single" w:sz="4" w:space="0" w:color="auto"/>
            </w:tcBorders>
            <w:shd w:val="clear" w:color="000000" w:fill="FFFFFF"/>
          </w:tcPr>
          <w:p w14:paraId="7D5A7265"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7</w:t>
            </w:r>
          </w:p>
        </w:tc>
        <w:tc>
          <w:tcPr>
            <w:tcW w:w="7620" w:type="dxa"/>
            <w:tcBorders>
              <w:top w:val="nil"/>
              <w:left w:val="single" w:sz="4" w:space="0" w:color="auto"/>
              <w:bottom w:val="single" w:sz="4" w:space="0" w:color="auto"/>
              <w:right w:val="single" w:sz="4" w:space="0" w:color="auto"/>
            </w:tcBorders>
            <w:shd w:val="clear" w:color="000000" w:fill="FFFFFF"/>
            <w:noWrap/>
            <w:vAlign w:val="bottom"/>
            <w:hideMark/>
          </w:tcPr>
          <w:p w14:paraId="11E38388" w14:textId="370B325A" w:rsidR="006C3CE9" w:rsidRDefault="008850BA" w:rsidP="00CE620E">
            <w:pPr>
              <w:pStyle w:val="Normal1"/>
              <w:spacing w:after="240"/>
              <w:ind w:right="72"/>
              <w:jc w:val="both"/>
              <w:rPr>
                <w:rFonts w:ascii="Arial" w:eastAsia="Arial" w:hAnsi="Arial" w:cs="Arial"/>
                <w:color w:val="000000"/>
                <w:sz w:val="24"/>
                <w:szCs w:val="24"/>
                <w:lang w:val="en-GB"/>
              </w:rPr>
            </w:pPr>
            <w:r>
              <w:rPr>
                <w:rFonts w:ascii="Arial" w:eastAsia="Arial" w:hAnsi="Arial" w:cs="Arial"/>
                <w:b/>
                <w:color w:val="000000"/>
                <w:sz w:val="24"/>
                <w:szCs w:val="24"/>
                <w:u w:val="single"/>
                <w:lang w:val="en-GB"/>
              </w:rPr>
              <w:t>Implementation</w:t>
            </w:r>
            <w:r>
              <w:rPr>
                <w:rFonts w:ascii="Arial" w:eastAsia="Arial" w:hAnsi="Arial" w:cs="Arial"/>
                <w:color w:val="000000"/>
                <w:sz w:val="24"/>
                <w:szCs w:val="24"/>
                <w:lang w:val="en-GB"/>
              </w:rPr>
              <w:t xml:space="preserve"> - give details of how the Potential </w:t>
            </w:r>
            <w:r w:rsidR="00CE620E">
              <w:rPr>
                <w:rFonts w:ascii="Arial" w:eastAsia="Arial" w:hAnsi="Arial" w:cs="Arial"/>
                <w:color w:val="000000"/>
                <w:sz w:val="24"/>
                <w:szCs w:val="24"/>
                <w:lang w:val="en-GB"/>
              </w:rPr>
              <w:t xml:space="preserve">Bidder </w:t>
            </w:r>
            <w:r>
              <w:rPr>
                <w:rFonts w:ascii="Arial" w:eastAsia="Arial" w:hAnsi="Arial" w:cs="Arial"/>
                <w:color w:val="000000"/>
                <w:sz w:val="24"/>
                <w:szCs w:val="24"/>
                <w:lang w:val="en-GB"/>
              </w:rPr>
              <w:t xml:space="preserve">(or the partner organisations - if applicable) managed any operational or technical changes, both to time and budget in connection with the </w:t>
            </w:r>
            <w:r>
              <w:rPr>
                <w:rFonts w:ascii="Arial" w:eastAsia="Arial" w:hAnsi="Arial" w:cs="Arial"/>
                <w:color w:val="000000"/>
                <w:sz w:val="24"/>
                <w:szCs w:val="24"/>
                <w:lang w:val="en-GB"/>
              </w:rPr>
              <w:lastRenderedPageBreak/>
              <w:t>Relevant Contract(s)</w:t>
            </w:r>
          </w:p>
        </w:tc>
      </w:tr>
    </w:tbl>
    <w:p w14:paraId="20024916" w14:textId="77777777" w:rsidR="006C3CE9" w:rsidRDefault="006C3CE9">
      <w:pPr>
        <w:pStyle w:val="Normal1"/>
        <w:spacing w:after="240"/>
        <w:ind w:right="72"/>
        <w:jc w:val="both"/>
        <w:rPr>
          <w:rFonts w:ascii="Arial" w:eastAsia="Arial" w:hAnsi="Arial" w:cs="Arial"/>
          <w:color w:val="000000"/>
          <w:sz w:val="24"/>
          <w:szCs w:val="24"/>
          <w:lang w:val="en-GB"/>
        </w:rPr>
      </w:pPr>
    </w:p>
    <w:p w14:paraId="12BA8E83" w14:textId="728C0775"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Please note that in respect of each of the questions above, the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should provide evidence as to how the Relevant Contract(s) demonstrate </w:t>
      </w:r>
      <w:r>
        <w:rPr>
          <w:rFonts w:ascii="Arial" w:eastAsia="Arial" w:hAnsi="Arial" w:cs="Arial"/>
          <w:color w:val="000000"/>
          <w:sz w:val="24"/>
          <w:szCs w:val="24"/>
          <w:lang w:val="en-GB"/>
        </w:rPr>
        <w:t xml:space="preserve">their technical knowledge and experience in relation to </w:t>
      </w:r>
      <w:r>
        <w:rPr>
          <w:rFonts w:ascii="Arial" w:eastAsia="Arial" w:hAnsi="Arial" w:cs="Arial"/>
          <w:color w:val="000000"/>
          <w:sz w:val="24"/>
          <w:szCs w:val="24"/>
        </w:rPr>
        <w:t>the Authority Requirements.</w:t>
      </w:r>
    </w:p>
    <w:p w14:paraId="19F9EFF0" w14:textId="570F059D"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Responses should be limited to, and focused on each of the questions.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should refrain from making generalised statements and providing information not relevant to the topic. Whilst there will be no marks given to layout, spelling, punctuation and grammar, it will assist evaluators if attention is paid to these areas.  </w:t>
      </w:r>
    </w:p>
    <w:p w14:paraId="24769472"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No attachments are permitted; any additional documents submitted will not be taken into consideration for the purposes of evaluation.</w:t>
      </w:r>
    </w:p>
    <w:p w14:paraId="74298D1D"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following marking scheme will be applied to each question. </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513"/>
      </w:tblGrid>
      <w:tr w:rsidR="006C3CE9" w14:paraId="1E9BE0B6" w14:textId="77777777">
        <w:tc>
          <w:tcPr>
            <w:tcW w:w="1384" w:type="dxa"/>
            <w:shd w:val="clear" w:color="auto" w:fill="C6D9F1"/>
          </w:tcPr>
          <w:p w14:paraId="1467BDA4" w14:textId="77777777" w:rsidR="006C3CE9" w:rsidRDefault="008850BA">
            <w:pPr>
              <w:pStyle w:val="Normal1"/>
              <w:spacing w:after="240"/>
              <w:ind w:right="72"/>
              <w:jc w:val="both"/>
              <w:rPr>
                <w:rFonts w:ascii="Arial" w:eastAsia="Arial" w:hAnsi="Arial" w:cs="Arial"/>
                <w:b/>
                <w:color w:val="000000"/>
                <w:sz w:val="24"/>
                <w:szCs w:val="24"/>
              </w:rPr>
            </w:pPr>
            <w:r>
              <w:rPr>
                <w:rFonts w:ascii="Arial" w:eastAsia="Arial" w:hAnsi="Arial" w:cs="Arial"/>
                <w:b/>
                <w:color w:val="000000"/>
                <w:sz w:val="24"/>
                <w:szCs w:val="24"/>
              </w:rPr>
              <w:t>Score</w:t>
            </w:r>
          </w:p>
        </w:tc>
        <w:tc>
          <w:tcPr>
            <w:tcW w:w="7513" w:type="dxa"/>
            <w:shd w:val="clear" w:color="auto" w:fill="C6D9F1"/>
          </w:tcPr>
          <w:p w14:paraId="6AE2EC9B" w14:textId="77777777" w:rsidR="006C3CE9" w:rsidRDefault="008850BA">
            <w:pPr>
              <w:pStyle w:val="Normal1"/>
              <w:spacing w:after="240"/>
              <w:ind w:right="72"/>
              <w:jc w:val="both"/>
              <w:rPr>
                <w:rFonts w:ascii="Arial" w:eastAsia="Arial" w:hAnsi="Arial" w:cs="Arial"/>
                <w:b/>
                <w:color w:val="000000"/>
                <w:sz w:val="24"/>
                <w:szCs w:val="24"/>
              </w:rPr>
            </w:pPr>
            <w:r>
              <w:rPr>
                <w:rFonts w:ascii="Arial" w:eastAsia="Arial" w:hAnsi="Arial" w:cs="Arial"/>
                <w:b/>
                <w:color w:val="000000"/>
                <w:sz w:val="24"/>
                <w:szCs w:val="24"/>
              </w:rPr>
              <w:t>Criteria</w:t>
            </w:r>
          </w:p>
        </w:tc>
      </w:tr>
      <w:tr w:rsidR="006C3CE9" w14:paraId="2EE27445" w14:textId="77777777">
        <w:tc>
          <w:tcPr>
            <w:tcW w:w="1384" w:type="dxa"/>
            <w:shd w:val="clear" w:color="auto" w:fill="auto"/>
          </w:tcPr>
          <w:p w14:paraId="5D0856E5"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8</w:t>
            </w:r>
          </w:p>
        </w:tc>
        <w:tc>
          <w:tcPr>
            <w:tcW w:w="7513" w:type="dxa"/>
            <w:shd w:val="clear" w:color="auto" w:fill="auto"/>
          </w:tcPr>
          <w:p w14:paraId="23FA728C"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The described experience is entirely relevant to the Authority’s Requirements</w:t>
            </w:r>
          </w:p>
          <w:p w14:paraId="5A093927"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The response is comprehensive and provides full evidence</w:t>
            </w:r>
          </w:p>
        </w:tc>
      </w:tr>
      <w:tr w:rsidR="006C3CE9" w14:paraId="25111DB8" w14:textId="77777777">
        <w:tc>
          <w:tcPr>
            <w:tcW w:w="1384" w:type="dxa"/>
            <w:shd w:val="clear" w:color="auto" w:fill="auto"/>
          </w:tcPr>
          <w:p w14:paraId="40935282"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5</w:t>
            </w:r>
          </w:p>
        </w:tc>
        <w:tc>
          <w:tcPr>
            <w:tcW w:w="7513" w:type="dxa"/>
            <w:shd w:val="clear" w:color="auto" w:fill="auto"/>
          </w:tcPr>
          <w:p w14:paraId="6ED11E17"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The described experience is highly relevant to the Authority’s Requirements</w:t>
            </w:r>
          </w:p>
          <w:p w14:paraId="677C4287"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Substantial evidence is provided </w:t>
            </w:r>
          </w:p>
        </w:tc>
      </w:tr>
      <w:tr w:rsidR="006C3CE9" w14:paraId="5DE4F644" w14:textId="77777777">
        <w:tc>
          <w:tcPr>
            <w:tcW w:w="1384" w:type="dxa"/>
            <w:shd w:val="clear" w:color="auto" w:fill="auto"/>
          </w:tcPr>
          <w:p w14:paraId="1CADEC2B"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3</w:t>
            </w:r>
          </w:p>
        </w:tc>
        <w:tc>
          <w:tcPr>
            <w:tcW w:w="7513" w:type="dxa"/>
            <w:shd w:val="clear" w:color="auto" w:fill="auto"/>
          </w:tcPr>
          <w:p w14:paraId="5749FCAB"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The described experience is broadly relevant to the Authority’s Requirements</w:t>
            </w:r>
          </w:p>
          <w:p w14:paraId="4C6F1E29"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lang w:val="en-GB"/>
              </w:rPr>
              <w:t xml:space="preserve">Satisfactory evidence is provided </w:t>
            </w:r>
          </w:p>
        </w:tc>
      </w:tr>
      <w:tr w:rsidR="006C3CE9" w14:paraId="04BF8C88" w14:textId="77777777">
        <w:tc>
          <w:tcPr>
            <w:tcW w:w="1384" w:type="dxa"/>
            <w:shd w:val="clear" w:color="auto" w:fill="auto"/>
          </w:tcPr>
          <w:p w14:paraId="33C873B5"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1</w:t>
            </w:r>
          </w:p>
        </w:tc>
        <w:tc>
          <w:tcPr>
            <w:tcW w:w="7513" w:type="dxa"/>
            <w:shd w:val="clear" w:color="auto" w:fill="auto"/>
          </w:tcPr>
          <w:p w14:paraId="2C0BBAE6"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The described experience is partially relevant to some of the Authority’s Requirements</w:t>
            </w:r>
          </w:p>
          <w:p w14:paraId="590DE2B8"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Partial or better evidence is provided </w:t>
            </w:r>
          </w:p>
        </w:tc>
      </w:tr>
      <w:tr w:rsidR="006C3CE9" w14:paraId="72B44B75" w14:textId="77777777">
        <w:tc>
          <w:tcPr>
            <w:tcW w:w="1384" w:type="dxa"/>
            <w:shd w:val="clear" w:color="auto" w:fill="auto"/>
          </w:tcPr>
          <w:p w14:paraId="437EEF29"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0</w:t>
            </w:r>
          </w:p>
        </w:tc>
        <w:tc>
          <w:tcPr>
            <w:tcW w:w="7513" w:type="dxa"/>
            <w:shd w:val="clear" w:color="auto" w:fill="auto"/>
          </w:tcPr>
          <w:p w14:paraId="77A9C2BF"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The described experience is not relevant to the Authority’s Requirements</w:t>
            </w:r>
          </w:p>
          <w:p w14:paraId="46A104D5"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 xml:space="preserve">OR </w:t>
            </w:r>
          </w:p>
          <w:p w14:paraId="2A434B81" w14:textId="1D344D03" w:rsidR="006C3CE9" w:rsidRDefault="008850BA" w:rsidP="0038571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The response provides no relevant evidence.</w:t>
            </w:r>
          </w:p>
        </w:tc>
      </w:tr>
    </w:tbl>
    <w:p w14:paraId="09BFBF2B" w14:textId="77777777" w:rsidR="006C3CE9" w:rsidRDefault="006C3CE9">
      <w:pPr>
        <w:pStyle w:val="Normal1"/>
        <w:spacing w:after="240"/>
        <w:ind w:right="72"/>
        <w:jc w:val="both"/>
        <w:rPr>
          <w:rFonts w:ascii="Arial" w:eastAsia="Arial" w:hAnsi="Arial" w:cs="Arial"/>
          <w:color w:val="000000"/>
          <w:sz w:val="24"/>
          <w:szCs w:val="24"/>
          <w:lang w:val="en-GB"/>
        </w:rPr>
      </w:pPr>
    </w:p>
    <w:p w14:paraId="1C158B3F" w14:textId="77777777" w:rsidR="006C3CE9" w:rsidRDefault="008850BA">
      <w:pPr>
        <w:pStyle w:val="Normal1"/>
        <w:spacing w:after="240"/>
        <w:ind w:right="72"/>
        <w:jc w:val="both"/>
        <w:rPr>
          <w:rFonts w:ascii="Arial" w:eastAsia="Arial" w:hAnsi="Arial" w:cs="Arial"/>
          <w:color w:val="000000"/>
          <w:sz w:val="24"/>
          <w:szCs w:val="24"/>
          <w:lang w:val="en-GB"/>
        </w:rPr>
      </w:pPr>
      <w:r>
        <w:rPr>
          <w:rFonts w:ascii="Arial" w:eastAsia="Arial" w:hAnsi="Arial" w:cs="Arial"/>
          <w:color w:val="000000"/>
          <w:sz w:val="24"/>
          <w:szCs w:val="24"/>
          <w:lang w:val="en-GB"/>
        </w:rPr>
        <w:t>Each of the questions has equal weighting.  A score will be allocated to each of the questions using the marking scheme set out above and the total of all of the scores for each of criteria 1-7 above will be added up.</w:t>
      </w:r>
    </w:p>
    <w:p w14:paraId="018BB354" w14:textId="35C57FC8"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will be ranked according the total scores that each achieve and the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(up to a maximum of 8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with the highest scores will be selected to proceed to the ITT stage.  </w:t>
      </w:r>
    </w:p>
    <w:p w14:paraId="676B3CE9" w14:textId="77777777" w:rsidR="006C3CE9" w:rsidRDefault="008850BA">
      <w:pPr>
        <w:pStyle w:val="Heading3"/>
        <w:spacing w:before="0" w:after="240"/>
        <w:jc w:val="both"/>
        <w:rPr>
          <w:rFonts w:ascii="Arial" w:eastAsia="Arial" w:hAnsi="Arial" w:cs="Arial"/>
          <w:b/>
          <w:color w:val="000000"/>
        </w:rPr>
      </w:pPr>
      <w:bookmarkStart w:id="24" w:name="_Toc533068860"/>
      <w:r>
        <w:rPr>
          <w:rFonts w:ascii="Arial" w:eastAsia="Arial" w:hAnsi="Arial" w:cs="Arial"/>
          <w:b/>
          <w:color w:val="000000"/>
        </w:rPr>
        <w:t>6 QUESTIONS AND CLARIFICATIONS</w:t>
      </w:r>
      <w:bookmarkEnd w:id="24"/>
    </w:p>
    <w:p w14:paraId="180C949C" w14:textId="5D202F8B"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Should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require further clarification, they must use the messaging facility within the </w:t>
      </w:r>
      <w:r w:rsidR="009E54E0">
        <w:rPr>
          <w:rFonts w:ascii="Arial" w:eastAsia="Arial" w:hAnsi="Arial" w:cs="Arial"/>
          <w:color w:val="000000"/>
          <w:sz w:val="24"/>
          <w:szCs w:val="24"/>
        </w:rPr>
        <w:t>e</w:t>
      </w:r>
      <w:r>
        <w:rPr>
          <w:rFonts w:ascii="Arial" w:eastAsia="Arial" w:hAnsi="Arial" w:cs="Arial"/>
          <w:color w:val="000000"/>
          <w:sz w:val="24"/>
          <w:szCs w:val="24"/>
        </w:rPr>
        <w:t xml:space="preserve">Sourcing suite.  </w:t>
      </w:r>
    </w:p>
    <w:p w14:paraId="35ADDB12" w14:textId="7A7B20FC" w:rsidR="006C3CE9" w:rsidRDefault="00D47F48">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Potential Bidders</w:t>
      </w:r>
      <w:r w:rsidR="008850BA">
        <w:rPr>
          <w:rFonts w:ascii="Arial" w:eastAsia="Arial" w:hAnsi="Arial" w:cs="Arial"/>
          <w:color w:val="000000"/>
          <w:sz w:val="24"/>
          <w:szCs w:val="24"/>
        </w:rPr>
        <w:t xml:space="preserve"> may raise questions or seek clarification regarding any aspect of this SQ exercise at any time prior to the SQ clarification deadline. The SQ clarification deadline for any clarification questions relating to the content of this document is set out in the timetable above in section 4.1. This will be strictly enforced so that all </w:t>
      </w:r>
      <w:r>
        <w:rPr>
          <w:rFonts w:ascii="Arial" w:eastAsia="Arial" w:hAnsi="Arial" w:cs="Arial"/>
          <w:color w:val="000000"/>
          <w:sz w:val="24"/>
          <w:szCs w:val="24"/>
        </w:rPr>
        <w:t>Potential Bidders</w:t>
      </w:r>
      <w:r w:rsidR="008850BA">
        <w:rPr>
          <w:rFonts w:ascii="Arial" w:eastAsia="Arial" w:hAnsi="Arial" w:cs="Arial"/>
          <w:color w:val="000000"/>
          <w:sz w:val="24"/>
          <w:szCs w:val="24"/>
        </w:rPr>
        <w:t xml:space="preserve"> have time to interpret all clarifications responses before submitting a bid. The Authority does not commit to answering any clarification questions submitted after the deadline.</w:t>
      </w:r>
    </w:p>
    <w:p w14:paraId="69BA166E" w14:textId="57D59A45"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Authority will not enter into exclusive discussions regarding the requirements of this process with </w:t>
      </w:r>
      <w:r w:rsidR="00D47F48">
        <w:rPr>
          <w:rFonts w:ascii="Arial" w:eastAsia="Arial" w:hAnsi="Arial" w:cs="Arial"/>
          <w:color w:val="000000"/>
          <w:sz w:val="24"/>
          <w:szCs w:val="24"/>
        </w:rPr>
        <w:t>Potential Bidders</w:t>
      </w:r>
      <w:r>
        <w:rPr>
          <w:rFonts w:ascii="Arial" w:eastAsia="Arial" w:hAnsi="Arial" w:cs="Arial"/>
          <w:color w:val="000000"/>
          <w:sz w:val="24"/>
          <w:szCs w:val="24"/>
        </w:rPr>
        <w:t>.</w:t>
      </w:r>
    </w:p>
    <w:p w14:paraId="22FB7273" w14:textId="0049614A"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To ensure that all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have equal access to information regarding this process, the Authority will publish all its responses to questions raised by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on an anonymous basis.</w:t>
      </w:r>
    </w:p>
    <w:p w14:paraId="23625C41" w14:textId="4780930D"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If a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believes that a request for clarification is commercially sensitive or that publishing the same together with the Authority’s response as set out above would reveal confidential information, disclosure of which would be detrimental to the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it should clearly state this when submitting the clarification request. However, if the Authority considers either that: </w:t>
      </w:r>
    </w:p>
    <w:p w14:paraId="0F79DF1E"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 xml:space="preserve">the request for clarification and/or the response is not commercially sensitive and/or </w:t>
      </w:r>
    </w:p>
    <w:p w14:paraId="51712989" w14:textId="3F1D8FCC"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 xml:space="preserve">all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may benefit from its disclosure</w:t>
      </w:r>
    </w:p>
    <w:p w14:paraId="7D5349FA" w14:textId="32C47A7C" w:rsidR="006C3CE9" w:rsidRDefault="009E54E0">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T</w:t>
      </w:r>
      <w:r w:rsidR="008850BA">
        <w:rPr>
          <w:rFonts w:ascii="Arial" w:eastAsia="Arial" w:hAnsi="Arial" w:cs="Arial"/>
          <w:color w:val="000000"/>
          <w:sz w:val="24"/>
          <w:szCs w:val="24"/>
        </w:rPr>
        <w:t xml:space="preserve">he Authority will notify the Potential </w:t>
      </w:r>
      <w:r w:rsidR="00CE620E">
        <w:rPr>
          <w:rFonts w:ascii="Arial" w:eastAsia="Arial" w:hAnsi="Arial" w:cs="Arial"/>
          <w:color w:val="000000"/>
          <w:sz w:val="24"/>
          <w:szCs w:val="24"/>
        </w:rPr>
        <w:t>Bidder</w:t>
      </w:r>
      <w:r w:rsidR="008850BA">
        <w:rPr>
          <w:rFonts w:ascii="Arial" w:eastAsia="Arial" w:hAnsi="Arial" w:cs="Arial"/>
          <w:color w:val="000000"/>
          <w:sz w:val="24"/>
          <w:szCs w:val="24"/>
        </w:rPr>
        <w:t xml:space="preserve"> of this via the </w:t>
      </w:r>
      <w:r>
        <w:rPr>
          <w:rFonts w:ascii="Arial" w:eastAsia="Arial" w:hAnsi="Arial" w:cs="Arial"/>
          <w:color w:val="000000"/>
          <w:sz w:val="24"/>
          <w:szCs w:val="24"/>
        </w:rPr>
        <w:t>e</w:t>
      </w:r>
      <w:r w:rsidR="008850BA">
        <w:rPr>
          <w:rFonts w:ascii="Arial" w:eastAsia="Arial" w:hAnsi="Arial" w:cs="Arial"/>
          <w:color w:val="000000"/>
          <w:sz w:val="24"/>
          <w:szCs w:val="24"/>
        </w:rPr>
        <w:t xml:space="preserve">Sourcing suite and the Potential </w:t>
      </w:r>
      <w:r w:rsidR="00CE620E">
        <w:rPr>
          <w:rFonts w:ascii="Arial" w:eastAsia="Arial" w:hAnsi="Arial" w:cs="Arial"/>
          <w:color w:val="000000"/>
          <w:sz w:val="24"/>
          <w:szCs w:val="24"/>
        </w:rPr>
        <w:t>Bidder</w:t>
      </w:r>
      <w:r w:rsidR="008850BA">
        <w:rPr>
          <w:rFonts w:ascii="Arial" w:eastAsia="Arial" w:hAnsi="Arial" w:cs="Arial"/>
          <w:color w:val="000000"/>
          <w:sz w:val="24"/>
          <w:szCs w:val="24"/>
        </w:rPr>
        <w:t xml:space="preserve"> will have an opportunity to withdraw the request for clarification. If the request for clarification is not withdrawn within two (2) working days of the Authority’s notification, the Authority may publish the clarification request and its response to all </w:t>
      </w:r>
      <w:r w:rsidR="00D47F48">
        <w:rPr>
          <w:rFonts w:ascii="Arial" w:eastAsia="Arial" w:hAnsi="Arial" w:cs="Arial"/>
          <w:color w:val="000000"/>
          <w:sz w:val="24"/>
          <w:szCs w:val="24"/>
        </w:rPr>
        <w:t>Potential Bidders</w:t>
      </w:r>
      <w:r w:rsidR="008850BA">
        <w:rPr>
          <w:rFonts w:ascii="Arial" w:eastAsia="Arial" w:hAnsi="Arial" w:cs="Arial"/>
          <w:color w:val="000000"/>
          <w:sz w:val="24"/>
          <w:szCs w:val="24"/>
        </w:rPr>
        <w:t xml:space="preserve"> and the Authority shall not be liable to any Potential </w:t>
      </w:r>
      <w:r w:rsidR="00CE620E">
        <w:rPr>
          <w:rFonts w:ascii="Arial" w:eastAsia="Arial" w:hAnsi="Arial" w:cs="Arial"/>
          <w:color w:val="000000"/>
          <w:sz w:val="24"/>
          <w:szCs w:val="24"/>
        </w:rPr>
        <w:t>Bidder</w:t>
      </w:r>
      <w:r w:rsidR="008850BA">
        <w:rPr>
          <w:rFonts w:ascii="Arial" w:eastAsia="Arial" w:hAnsi="Arial" w:cs="Arial"/>
          <w:color w:val="000000"/>
          <w:sz w:val="24"/>
          <w:szCs w:val="24"/>
        </w:rPr>
        <w:t xml:space="preserve"> for any consequences of such publication.</w:t>
      </w:r>
    </w:p>
    <w:p w14:paraId="7F49FA85" w14:textId="22EA10C6"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Authority reserves the right not to respond to a clarification or publish it where the Authority considers that the response may prejudice the Authority’s commercial interests. In such circumstances, the Authority will inform the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of its view.</w:t>
      </w:r>
    </w:p>
    <w:p w14:paraId="541CC683" w14:textId="50D99903" w:rsidR="006C3CE9" w:rsidRDefault="008850BA">
      <w:pPr>
        <w:pStyle w:val="Normal1"/>
        <w:spacing w:after="240"/>
        <w:ind w:right="72"/>
        <w:jc w:val="both"/>
        <w:rPr>
          <w:rFonts w:ascii="Arial" w:eastAsia="Arial" w:hAnsi="Arial" w:cs="Arial"/>
          <w:b/>
          <w:color w:val="000000"/>
          <w:sz w:val="24"/>
          <w:szCs w:val="24"/>
        </w:rPr>
      </w:pPr>
      <w:r>
        <w:rPr>
          <w:rFonts w:ascii="Arial" w:eastAsia="Arial" w:hAnsi="Arial" w:cs="Arial"/>
          <w:b/>
          <w:color w:val="000000"/>
          <w:sz w:val="24"/>
          <w:szCs w:val="24"/>
        </w:rPr>
        <w:t xml:space="preserve">At times the Authority may issue communications to the email address supplied at the time of registration by the Potential </w:t>
      </w:r>
      <w:r w:rsidR="00CE620E">
        <w:rPr>
          <w:rFonts w:ascii="Arial" w:eastAsia="Arial" w:hAnsi="Arial" w:cs="Arial"/>
          <w:b/>
          <w:color w:val="000000"/>
          <w:sz w:val="24"/>
          <w:szCs w:val="24"/>
        </w:rPr>
        <w:t>Bidder</w:t>
      </w:r>
      <w:r>
        <w:rPr>
          <w:rFonts w:ascii="Arial" w:eastAsia="Arial" w:hAnsi="Arial" w:cs="Arial"/>
          <w:b/>
          <w:color w:val="000000"/>
          <w:sz w:val="24"/>
          <w:szCs w:val="24"/>
        </w:rPr>
        <w:t xml:space="preserve"> on the </w:t>
      </w:r>
      <w:r w:rsidR="009E54E0">
        <w:rPr>
          <w:rFonts w:ascii="Arial" w:eastAsia="Arial" w:hAnsi="Arial" w:cs="Arial"/>
          <w:b/>
          <w:color w:val="000000"/>
          <w:sz w:val="24"/>
          <w:szCs w:val="24"/>
        </w:rPr>
        <w:t>e</w:t>
      </w:r>
      <w:r>
        <w:rPr>
          <w:rFonts w:ascii="Arial" w:eastAsia="Arial" w:hAnsi="Arial" w:cs="Arial"/>
          <w:b/>
          <w:color w:val="000000"/>
          <w:sz w:val="24"/>
          <w:szCs w:val="24"/>
        </w:rPr>
        <w:t>Sourcing suite - therefore please ensure that this mailbox is reviewed on a regular basis.</w:t>
      </w:r>
    </w:p>
    <w:p w14:paraId="6EF875B7" w14:textId="388355BA"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Authority may seek clarification of any aspect of a response and/or additional information in order to carry out a fair evaluation, including supporting documents. </w:t>
      </w:r>
      <w:r>
        <w:rPr>
          <w:rFonts w:ascii="Arial" w:eastAsia="Arial" w:hAnsi="Arial" w:cs="Arial"/>
          <w:color w:val="000000"/>
          <w:sz w:val="24"/>
          <w:szCs w:val="24"/>
        </w:rPr>
        <w:lastRenderedPageBreak/>
        <w:t xml:space="preserve">The Authority is not obliged to seek clarification of responses and it is the Potential </w:t>
      </w:r>
      <w:r w:rsidR="00CE620E">
        <w:rPr>
          <w:rFonts w:ascii="Arial" w:eastAsia="Arial" w:hAnsi="Arial" w:cs="Arial"/>
          <w:color w:val="000000"/>
          <w:sz w:val="24"/>
          <w:szCs w:val="24"/>
        </w:rPr>
        <w:t>Bidder</w:t>
      </w:r>
      <w:r>
        <w:rPr>
          <w:rFonts w:ascii="Arial" w:eastAsia="Arial" w:hAnsi="Arial" w:cs="Arial"/>
          <w:color w:val="000000"/>
          <w:sz w:val="24"/>
          <w:szCs w:val="24"/>
        </w:rPr>
        <w:t>'s responsibility to ensure its response is unambiguous and complete and to seek clarification from the Authority if necessary.</w:t>
      </w:r>
    </w:p>
    <w:p w14:paraId="4CC8DD6C" w14:textId="470FC96D" w:rsidR="006C3CE9" w:rsidRDefault="008850BA">
      <w:pPr>
        <w:pStyle w:val="Normal1"/>
        <w:spacing w:after="240"/>
        <w:ind w:right="72"/>
        <w:jc w:val="both"/>
        <w:rPr>
          <w:rFonts w:ascii="Arial" w:eastAsia="Arial" w:hAnsi="Arial" w:cs="Arial"/>
          <w:color w:val="000000"/>
          <w:sz w:val="24"/>
          <w:szCs w:val="24"/>
        </w:rPr>
      </w:pPr>
      <w:bookmarkStart w:id="25" w:name="_Ref466627288"/>
      <w:r>
        <w:rPr>
          <w:rFonts w:ascii="Arial" w:eastAsia="Arial" w:hAnsi="Arial" w:cs="Arial"/>
          <w:color w:val="000000"/>
          <w:sz w:val="24"/>
          <w:szCs w:val="24"/>
        </w:rPr>
        <w:t xml:space="preserve">The Authority may seek clarification if a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appears to the Authority to have made an "obvious mistake". In other words, where it is apparent what the Potential </w:t>
      </w:r>
      <w:r w:rsidR="00CE620E">
        <w:rPr>
          <w:rFonts w:ascii="Arial" w:eastAsia="Arial" w:hAnsi="Arial" w:cs="Arial"/>
          <w:color w:val="000000"/>
          <w:sz w:val="24"/>
          <w:szCs w:val="24"/>
        </w:rPr>
        <w:t>Bidder</w:t>
      </w:r>
      <w:r>
        <w:rPr>
          <w:rFonts w:ascii="Arial" w:eastAsia="Arial" w:hAnsi="Arial" w:cs="Arial"/>
          <w:color w:val="000000"/>
          <w:sz w:val="24"/>
          <w:szCs w:val="24"/>
        </w:rPr>
        <w:t>'s intentions were but a mistake has been made in the response. For example:</w:t>
      </w:r>
      <w:bookmarkEnd w:id="25"/>
    </w:p>
    <w:p w14:paraId="50E36075"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where a document is said to be attached but has not been attached</w:t>
      </w:r>
    </w:p>
    <w:p w14:paraId="3DF85BBE"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where a whole section has been inadvertently omitted</w:t>
      </w:r>
    </w:p>
    <w:p w14:paraId="7BE46FCC" w14:textId="77777777"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inconsistencies and confused document structure, for example, inclusion of a statement that there will be no sub-contractors but there is attached a list of sub-contractors</w:t>
      </w:r>
    </w:p>
    <w:p w14:paraId="05A1D4E8" w14:textId="1A8B285E"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While the Authority may seek clarification for such "obvious mistakes", if a response is unclear, the Authority may consider other responses to the same question and consider whether the question itself is ambiguous. In these circumstances, it may be appropriate to clarify the question and circulate an unambiguous version of the same question to all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so that they all have the same second chance to answer the question.  </w:t>
      </w:r>
    </w:p>
    <w:p w14:paraId="2C717C0F" w14:textId="40F8718B"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's failure to respond within two (2) working days and/or to provide an adequate response to a clarification request from the Authority may result in the response being rejected. If the ambiguity or mistake is not resolved or clarified, the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is likely to receive a low score in relation to that question or to fail that question if it is a pass/ fail question. </w:t>
      </w:r>
    </w:p>
    <w:p w14:paraId="18B112A2" w14:textId="77777777" w:rsidR="006C3CE9" w:rsidRDefault="008850BA">
      <w:pPr>
        <w:pStyle w:val="Heading3"/>
        <w:spacing w:before="0" w:after="240"/>
        <w:jc w:val="both"/>
        <w:rPr>
          <w:rFonts w:ascii="Arial" w:eastAsia="Arial" w:hAnsi="Arial" w:cs="Arial"/>
          <w:b/>
          <w:color w:val="000000"/>
        </w:rPr>
      </w:pPr>
      <w:bookmarkStart w:id="26" w:name="_Toc533068861"/>
      <w:r>
        <w:rPr>
          <w:rFonts w:ascii="Arial" w:eastAsia="Arial" w:hAnsi="Arial" w:cs="Arial"/>
          <w:b/>
          <w:color w:val="000000"/>
        </w:rPr>
        <w:t>7. GENERAL INFORMATION</w:t>
      </w:r>
      <w:bookmarkEnd w:id="26"/>
      <w:r>
        <w:rPr>
          <w:rFonts w:ascii="Arial" w:eastAsia="Arial" w:hAnsi="Arial" w:cs="Arial"/>
          <w:b/>
          <w:color w:val="000000"/>
        </w:rPr>
        <w:t xml:space="preserve"> </w:t>
      </w:r>
    </w:p>
    <w:p w14:paraId="5C2499C1"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While the information contained in this document is believed to be correct at the time of issue, neither the Authority nor its advisors will accept any liability for its accuracy, adequacy or completeness. No express or implied warranty is given relating to the information contained in this document.</w:t>
      </w:r>
    </w:p>
    <w:p w14:paraId="032B7734" w14:textId="77777777" w:rsidR="006C3CE9" w:rsidRDefault="008850BA">
      <w:pPr>
        <w:pStyle w:val="Normal1"/>
        <w:spacing w:after="240"/>
        <w:ind w:right="72"/>
        <w:jc w:val="both"/>
      </w:pPr>
      <w:r>
        <w:rPr>
          <w:rFonts w:ascii="Arial" w:eastAsia="Arial" w:hAnsi="Arial" w:cs="Arial"/>
          <w:color w:val="000000"/>
          <w:sz w:val="24"/>
          <w:szCs w:val="24"/>
        </w:rPr>
        <w:t>The Authority expressly reserves the right not to award any contract as a result of the procurement process commenced by publication of this notice.</w:t>
      </w:r>
    </w:p>
    <w:p w14:paraId="3588C38F" w14:textId="4D2FCEC4"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Although it is intended that this procurement will take place in accordance with the timetable set out in this document, the Authority reserves the right to terminate, amend or vary the content and structure of procurement process at any time without incurring any liability to any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and without limitation, the Authority may, at its discretion, extend the deadline for the submission of responses and/or any other stages of the procurement.</w:t>
      </w:r>
    </w:p>
    <w:p w14:paraId="5AC30B3C" w14:textId="66CDF82A"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In no circumstances will the Authority be liable for any costs incurred by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Any expenditure, work or effort undertaken prior to contract award is accordingly a matter solely for the commercial judgement of </w:t>
      </w:r>
      <w:r w:rsidR="00D47F48">
        <w:rPr>
          <w:rFonts w:ascii="Arial" w:eastAsia="Arial" w:hAnsi="Arial" w:cs="Arial"/>
          <w:color w:val="000000"/>
          <w:sz w:val="24"/>
          <w:szCs w:val="24"/>
        </w:rPr>
        <w:t>Potential Bidders</w:t>
      </w:r>
      <w:r>
        <w:rPr>
          <w:rFonts w:ascii="Arial" w:eastAsia="Arial" w:hAnsi="Arial" w:cs="Arial"/>
          <w:color w:val="000000"/>
          <w:sz w:val="24"/>
          <w:szCs w:val="24"/>
        </w:rPr>
        <w:t>.</w:t>
      </w:r>
    </w:p>
    <w:p w14:paraId="0792D5D1"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The Authority may:</w:t>
      </w:r>
    </w:p>
    <w:p w14:paraId="27215E50" w14:textId="43EB7CB8"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reject a response at any time during the selection process if there is a subsequent change of identity, control, financial standing or other material change to the Potential </w:t>
      </w:r>
      <w:r w:rsidR="00CE620E">
        <w:rPr>
          <w:rFonts w:ascii="Arial" w:eastAsia="Arial" w:hAnsi="Arial" w:cs="Arial"/>
          <w:color w:val="000000"/>
          <w:sz w:val="24"/>
          <w:szCs w:val="24"/>
        </w:rPr>
        <w:t>Bidder</w:t>
      </w:r>
      <w:r>
        <w:rPr>
          <w:rFonts w:ascii="Arial" w:eastAsia="Arial" w:hAnsi="Arial" w:cs="Arial"/>
          <w:color w:val="000000"/>
          <w:sz w:val="24"/>
          <w:szCs w:val="24"/>
        </w:rPr>
        <w:t>'s circumstances which may affect the Authority’s evaluation of the response</w:t>
      </w:r>
    </w:p>
    <w:p w14:paraId="462BDD0F" w14:textId="262618BC"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 xml:space="preserve">at any time after the selection process disqualify a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from the procurement where there has been a material change to the Potential </w:t>
      </w:r>
      <w:r w:rsidR="00CE620E">
        <w:rPr>
          <w:rFonts w:ascii="Arial" w:eastAsia="Arial" w:hAnsi="Arial" w:cs="Arial"/>
          <w:color w:val="000000"/>
          <w:sz w:val="24"/>
          <w:szCs w:val="24"/>
        </w:rPr>
        <w:t>Bidder</w:t>
      </w:r>
      <w:r>
        <w:rPr>
          <w:rFonts w:ascii="Arial" w:eastAsia="Arial" w:hAnsi="Arial" w:cs="Arial"/>
          <w:color w:val="000000"/>
          <w:sz w:val="24"/>
          <w:szCs w:val="24"/>
        </w:rPr>
        <w:t>'s circumstances, such that had their current circumstances been reflected within their response, they would not have been selected to submit an initial tender</w:t>
      </w:r>
    </w:p>
    <w:p w14:paraId="1BCC528E"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The Authority may in its discretion:</w:t>
      </w:r>
    </w:p>
    <w:p w14:paraId="0887DDB7" w14:textId="5412CC4E" w:rsidR="006C3CE9" w:rsidRDefault="008850BA">
      <w:pPr>
        <w:pStyle w:val="Normal1"/>
        <w:numPr>
          <w:ilvl w:val="0"/>
          <w:numId w:val="3"/>
        </w:numPr>
        <w:spacing w:after="240"/>
        <w:ind w:left="1287"/>
        <w:jc w:val="both"/>
        <w:rPr>
          <w:rFonts w:ascii="Arial" w:eastAsia="Arial" w:hAnsi="Arial" w:cs="Arial"/>
          <w:color w:val="000000"/>
          <w:sz w:val="24"/>
          <w:szCs w:val="24"/>
        </w:rPr>
      </w:pPr>
      <w:r>
        <w:rPr>
          <w:rFonts w:ascii="Arial" w:eastAsia="Arial" w:hAnsi="Arial" w:cs="Arial"/>
          <w:color w:val="000000"/>
          <w:sz w:val="24"/>
          <w:szCs w:val="24"/>
        </w:rPr>
        <w:t xml:space="preserve">revisit information contained in a response at any time during the procurement to take account of subsequent changes to the Potential </w:t>
      </w:r>
      <w:r w:rsidR="00CE620E">
        <w:rPr>
          <w:rFonts w:ascii="Arial" w:eastAsia="Arial" w:hAnsi="Arial" w:cs="Arial"/>
          <w:color w:val="000000"/>
          <w:sz w:val="24"/>
          <w:szCs w:val="24"/>
        </w:rPr>
        <w:t>Bidder</w:t>
      </w:r>
      <w:r>
        <w:rPr>
          <w:rFonts w:ascii="Arial" w:eastAsia="Arial" w:hAnsi="Arial" w:cs="Arial"/>
          <w:color w:val="000000"/>
          <w:sz w:val="24"/>
          <w:szCs w:val="24"/>
        </w:rPr>
        <w:t>'s circumstances; or</w:t>
      </w:r>
    </w:p>
    <w:p w14:paraId="5F517DEF" w14:textId="3EC6DA6D" w:rsidR="006C3CE9" w:rsidRDefault="008850BA">
      <w:pPr>
        <w:pStyle w:val="Normal1"/>
        <w:numPr>
          <w:ilvl w:val="0"/>
          <w:numId w:val="3"/>
        </w:numPr>
        <w:spacing w:after="240"/>
        <w:ind w:left="1287"/>
        <w:jc w:val="both"/>
        <w:rPr>
          <w:rFonts w:ascii="Arial" w:eastAsia="Arial" w:hAnsi="Arial" w:cs="Arial"/>
          <w:color w:val="000000"/>
          <w:sz w:val="24"/>
          <w:szCs w:val="24"/>
        </w:rPr>
      </w:pP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any point during the procurement require the Potential </w:t>
      </w:r>
      <w:r w:rsidR="00CE620E">
        <w:rPr>
          <w:rFonts w:ascii="Arial" w:eastAsia="Arial" w:hAnsi="Arial" w:cs="Arial"/>
          <w:color w:val="000000"/>
          <w:sz w:val="24"/>
          <w:szCs w:val="24"/>
        </w:rPr>
        <w:t>Bidder</w:t>
      </w:r>
      <w:r>
        <w:rPr>
          <w:rFonts w:ascii="Arial" w:eastAsia="Arial" w:hAnsi="Arial" w:cs="Arial"/>
          <w:color w:val="000000"/>
          <w:sz w:val="24"/>
          <w:szCs w:val="24"/>
        </w:rPr>
        <w:t xml:space="preserve"> to certify there has been no material change to information submitted in its response and in the absence of such certificate, reject the response.</w:t>
      </w:r>
    </w:p>
    <w:p w14:paraId="54592C77" w14:textId="1D4C20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The Authority considers that this contract may be suitable for economic operators that are small or medium enterprises (SMEs). However, any selection of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will be based solely on the criteria set out for the procurement, and the contract will be awarded on the basis of the most economically advantageous tender.</w:t>
      </w:r>
    </w:p>
    <w:p w14:paraId="7C0BA79F" w14:textId="079CC4AF"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This document contains confidential information and has only been provided on the basis that the information will only be used in connection with the preparation and submission of tenders for this procurement project.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are reminded of their obligations in relation to confidentiality as set out in the Non</w:t>
      </w:r>
      <w:r w:rsidR="00CE620E">
        <w:rPr>
          <w:rFonts w:ascii="Arial" w:eastAsia="Arial" w:hAnsi="Arial" w:cs="Arial"/>
          <w:color w:val="000000"/>
          <w:sz w:val="24"/>
          <w:szCs w:val="24"/>
        </w:rPr>
        <w:t>-</w:t>
      </w:r>
      <w:r>
        <w:rPr>
          <w:rFonts w:ascii="Arial" w:eastAsia="Arial" w:hAnsi="Arial" w:cs="Arial"/>
          <w:color w:val="000000"/>
          <w:sz w:val="24"/>
          <w:szCs w:val="24"/>
        </w:rPr>
        <w:t>Disclosure Agreements signed by them.</w:t>
      </w:r>
    </w:p>
    <w:p w14:paraId="662A6928" w14:textId="11E4A8B5" w:rsidR="006C3CE9" w:rsidRDefault="00D47F48">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Potential Bidders</w:t>
      </w:r>
      <w:r w:rsidR="008850BA">
        <w:rPr>
          <w:rFonts w:ascii="Arial" w:eastAsia="Arial" w:hAnsi="Arial" w:cs="Arial"/>
          <w:color w:val="000000"/>
          <w:sz w:val="24"/>
          <w:szCs w:val="24"/>
        </w:rPr>
        <w:t xml:space="preserve"> shall not undertake any publicity activities in relation to this procurement without the Authority’s prior written consent, including to the format and content of any publicity. For example, no statements may be made to the media regarding the nature of any response, its contents or any proposals relating to it without the prior written consent of the Authority.</w:t>
      </w:r>
    </w:p>
    <w:p w14:paraId="0411210A" w14:textId="3DDB28B1"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 xml:space="preserve">Lodging of appeals: the Authority will incorporate a minimum 10 calendar day standstill period at the time the award of the contract is communicated to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This period allows unsuccessful </w:t>
      </w:r>
      <w:r w:rsidR="00D47F48">
        <w:rPr>
          <w:rFonts w:ascii="Arial" w:eastAsia="Arial" w:hAnsi="Arial" w:cs="Arial"/>
          <w:color w:val="000000"/>
          <w:sz w:val="24"/>
          <w:szCs w:val="24"/>
        </w:rPr>
        <w:t>Potential Bidders</w:t>
      </w:r>
      <w:r>
        <w:rPr>
          <w:rFonts w:ascii="Arial" w:eastAsia="Arial" w:hAnsi="Arial" w:cs="Arial"/>
          <w:color w:val="000000"/>
          <w:sz w:val="24"/>
          <w:szCs w:val="24"/>
        </w:rPr>
        <w:t xml:space="preserve"> to seek further debriefing from the contracting authority before the contract is entered into.</w:t>
      </w:r>
    </w:p>
    <w:p w14:paraId="202D39A0" w14:textId="77777777" w:rsidR="006C3CE9" w:rsidRDefault="008850BA">
      <w:pPr>
        <w:pStyle w:val="Normal1"/>
        <w:spacing w:after="240"/>
        <w:ind w:right="72"/>
        <w:jc w:val="both"/>
        <w:rPr>
          <w:rFonts w:ascii="Arial" w:eastAsia="Arial" w:hAnsi="Arial" w:cs="Arial"/>
          <w:color w:val="000000"/>
          <w:sz w:val="24"/>
          <w:szCs w:val="24"/>
        </w:rPr>
      </w:pPr>
      <w:r>
        <w:rPr>
          <w:rFonts w:ascii="Arial" w:eastAsia="Arial" w:hAnsi="Arial" w:cs="Arial"/>
          <w:color w:val="000000"/>
          <w:sz w:val="24"/>
          <w:szCs w:val="24"/>
        </w:rPr>
        <w:t>Such additional information should be requested from the address stated in the OJEU Notice. Where a contract has not been entered into, the Court may order the setting aside of the award decision or order the Authority to amend any document and may award damages. If the contract has been entered into, the Court may only award damages.</w:t>
      </w:r>
    </w:p>
    <w:p w14:paraId="0208836C" w14:textId="77777777" w:rsidR="006C3CE9" w:rsidRDefault="006C3CE9">
      <w:pPr>
        <w:pStyle w:val="Normal1"/>
        <w:spacing w:after="240"/>
        <w:ind w:right="72"/>
        <w:jc w:val="both"/>
        <w:rPr>
          <w:rFonts w:ascii="Arial" w:eastAsia="Arial" w:hAnsi="Arial" w:cs="Arial"/>
          <w:color w:val="000000"/>
          <w:sz w:val="24"/>
          <w:szCs w:val="24"/>
          <w:lang w:val="en-GB"/>
        </w:rPr>
      </w:pPr>
    </w:p>
    <w:p w14:paraId="1BA686FA" w14:textId="77777777" w:rsidR="006C3CE9" w:rsidRDefault="006C3CE9">
      <w:pPr>
        <w:pStyle w:val="Normal1"/>
        <w:spacing w:after="240"/>
        <w:ind w:right="72"/>
        <w:jc w:val="both"/>
        <w:rPr>
          <w:rFonts w:ascii="Arial" w:eastAsia="Arial" w:hAnsi="Arial" w:cs="Arial"/>
          <w:color w:val="000000"/>
          <w:sz w:val="24"/>
          <w:szCs w:val="24"/>
        </w:rPr>
      </w:pPr>
    </w:p>
    <w:sectPr w:rsidR="006C3CE9">
      <w:pgSz w:w="11909" w:h="16834"/>
      <w:pgMar w:top="851" w:right="1361" w:bottom="176" w:left="141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6AF3F" w14:textId="77777777" w:rsidR="00E43C84" w:rsidRDefault="00E43C84">
      <w:r>
        <w:separator/>
      </w:r>
    </w:p>
  </w:endnote>
  <w:endnote w:type="continuationSeparator" w:id="0">
    <w:p w14:paraId="25306612" w14:textId="77777777" w:rsidR="00E43C84" w:rsidRDefault="00E4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29215" w14:textId="77777777" w:rsidR="00D47F48" w:rsidRDefault="00D47F48">
    <w:pPr>
      <w:pStyle w:val="Normal1"/>
      <w:pBdr>
        <w:top w:val="nil"/>
        <w:left w:val="nil"/>
        <w:bottom w:val="nil"/>
        <w:right w:val="nil"/>
        <w:between w:val="nil"/>
      </w:pBdr>
      <w:tabs>
        <w:tab w:val="center" w:pos="4513"/>
        <w:tab w:val="right" w:pos="9026"/>
      </w:tabs>
      <w:rPr>
        <w:rFonts w:ascii="Arial" w:eastAsia="Arial" w:hAnsi="Arial" w:cs="Arial"/>
        <w:color w:val="000000"/>
      </w:rPr>
    </w:pPr>
    <w:r>
      <w:rPr>
        <w:rFonts w:ascii="Arial" w:eastAsia="Arial" w:hAnsi="Arial" w:cs="Arial"/>
        <w:color w:val="000000"/>
      </w:rPr>
      <w:t>Issue V1 0</w:t>
    </w:r>
  </w:p>
  <w:p w14:paraId="696B1681" w14:textId="77777777" w:rsidR="00D47F48" w:rsidRDefault="00D47F48">
    <w:pPr>
      <w:pStyle w:val="Normal1"/>
      <w:pBdr>
        <w:top w:val="nil"/>
        <w:left w:val="nil"/>
        <w:bottom w:val="nil"/>
        <w:right w:val="nil"/>
        <w:between w:val="nil"/>
      </w:pBdr>
      <w:tabs>
        <w:tab w:val="center" w:pos="4513"/>
        <w:tab w:val="right" w:pos="9026"/>
      </w:tabs>
      <w:jc w:val="center"/>
      <w:rPr>
        <w:rFonts w:ascii="Arial" w:eastAsia="Arial" w:hAnsi="Arial" w:cs="Arial"/>
        <w:color w:val="000000"/>
      </w:rPr>
    </w:pPr>
    <w:r>
      <w:rPr>
        <w:rFonts w:ascii="Arial" w:eastAsia="Arial" w:hAnsi="Arial" w:cs="Arial"/>
        <w:color w:val="000000"/>
      </w:rPr>
      <w:t xml:space="preserve">Page </w:t>
    </w:r>
    <w:r>
      <w:rPr>
        <w:rFonts w:ascii="Arial" w:eastAsia="Arial" w:hAnsi="Arial" w:cs="Arial"/>
        <w:b/>
        <w:color w:val="000000"/>
        <w:sz w:val="24"/>
        <w:szCs w:val="24"/>
      </w:rPr>
      <w:fldChar w:fldCharType="begin"/>
    </w:r>
    <w:r>
      <w:rPr>
        <w:rFonts w:ascii="Arial" w:eastAsia="Arial" w:hAnsi="Arial" w:cs="Arial"/>
        <w:b/>
        <w:color w:val="000000"/>
        <w:sz w:val="24"/>
        <w:szCs w:val="24"/>
      </w:rPr>
      <w:instrText>PAGE</w:instrText>
    </w:r>
    <w:r>
      <w:rPr>
        <w:rFonts w:ascii="Arial" w:eastAsia="Arial" w:hAnsi="Arial" w:cs="Arial"/>
        <w:b/>
        <w:color w:val="000000"/>
        <w:sz w:val="24"/>
        <w:szCs w:val="24"/>
      </w:rPr>
      <w:fldChar w:fldCharType="separate"/>
    </w:r>
    <w:r w:rsidR="005A4AE5">
      <w:rPr>
        <w:rFonts w:ascii="Arial" w:eastAsia="Arial" w:hAnsi="Arial" w:cs="Arial"/>
        <w:b/>
        <w:noProof/>
        <w:color w:val="000000"/>
        <w:sz w:val="24"/>
        <w:szCs w:val="24"/>
      </w:rPr>
      <w:t>10</w:t>
    </w:r>
    <w:r>
      <w:rPr>
        <w:rFonts w:ascii="Arial" w:eastAsia="Arial" w:hAnsi="Arial" w:cs="Arial"/>
        <w:b/>
        <w:color w:val="000000"/>
        <w:sz w:val="24"/>
        <w:szCs w:val="24"/>
      </w:rPr>
      <w:fldChar w:fldCharType="end"/>
    </w:r>
    <w:r>
      <w:rPr>
        <w:rFonts w:ascii="Arial" w:eastAsia="Arial" w:hAnsi="Arial" w:cs="Arial"/>
        <w:color w:val="000000"/>
      </w:rPr>
      <w:t xml:space="preserve"> of </w:t>
    </w:r>
    <w:r>
      <w:rPr>
        <w:rFonts w:ascii="Arial" w:eastAsia="Arial" w:hAnsi="Arial" w:cs="Arial"/>
        <w:b/>
        <w:color w:val="000000"/>
        <w:sz w:val="24"/>
        <w:szCs w:val="24"/>
      </w:rPr>
      <w:fldChar w:fldCharType="begin"/>
    </w:r>
    <w:r>
      <w:rPr>
        <w:rFonts w:ascii="Arial" w:eastAsia="Arial" w:hAnsi="Arial" w:cs="Arial"/>
        <w:b/>
        <w:color w:val="000000"/>
        <w:sz w:val="24"/>
        <w:szCs w:val="24"/>
      </w:rPr>
      <w:instrText>NUMPAGES</w:instrText>
    </w:r>
    <w:r>
      <w:rPr>
        <w:rFonts w:ascii="Arial" w:eastAsia="Arial" w:hAnsi="Arial" w:cs="Arial"/>
        <w:b/>
        <w:color w:val="000000"/>
        <w:sz w:val="24"/>
        <w:szCs w:val="24"/>
      </w:rPr>
      <w:fldChar w:fldCharType="separate"/>
    </w:r>
    <w:r w:rsidR="005A4AE5">
      <w:rPr>
        <w:rFonts w:ascii="Arial" w:eastAsia="Arial" w:hAnsi="Arial" w:cs="Arial"/>
        <w:b/>
        <w:noProof/>
        <w:color w:val="000000"/>
        <w:sz w:val="24"/>
        <w:szCs w:val="24"/>
      </w:rPr>
      <w:t>19</w:t>
    </w:r>
    <w:r>
      <w:rPr>
        <w:rFonts w:ascii="Arial" w:eastAsia="Arial" w:hAnsi="Arial" w:cs="Arial"/>
        <w:b/>
        <w:color w:val="000000"/>
        <w:sz w:val="24"/>
        <w:szCs w:val="24"/>
      </w:rPr>
      <w:fldChar w:fldCharType="end"/>
    </w:r>
  </w:p>
  <w:p w14:paraId="4C4B3BC3" w14:textId="77777777" w:rsidR="00D47F48" w:rsidRDefault="00D47F48">
    <w:pPr>
      <w:pStyle w:val="Normal1"/>
      <w:widowControl w:val="0"/>
      <w:pBdr>
        <w:top w:val="nil"/>
        <w:left w:val="nil"/>
        <w:bottom w:val="nil"/>
        <w:right w:val="nil"/>
        <w:between w:val="nil"/>
      </w:pBdr>
      <w:spacing w:line="276" w:lineRule="auto"/>
      <w:rPr>
        <w:rFonts w:ascii="Arial" w:eastAsia="Arial" w:hAnsi="Arial" w:cs="Arial"/>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17C5F" w14:textId="77777777" w:rsidR="00E43C84" w:rsidRDefault="00E43C84">
      <w:r>
        <w:separator/>
      </w:r>
    </w:p>
  </w:footnote>
  <w:footnote w:type="continuationSeparator" w:id="0">
    <w:p w14:paraId="21B8AD8B" w14:textId="77777777" w:rsidR="00E43C84" w:rsidRDefault="00E43C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CE36A4C4"/>
    <w:lvl w:ilvl="0">
      <w:start w:val="1"/>
      <w:numFmt w:val="decimal"/>
      <w:lvlText w:val="%1."/>
      <w:legacy w:legacy="1" w:legacySpace="0" w:legacyIndent="737"/>
      <w:lvlJc w:val="left"/>
      <w:pPr>
        <w:ind w:left="737" w:hanging="737"/>
      </w:pPr>
    </w:lvl>
    <w:lvl w:ilvl="1">
      <w:start w:val="1"/>
      <w:numFmt w:val="decimal"/>
      <w:lvlText w:val="%1.%2"/>
      <w:legacy w:legacy="1" w:legacySpace="0" w:legacyIndent="737"/>
      <w:lvlJc w:val="left"/>
      <w:pPr>
        <w:ind w:left="1440" w:hanging="737"/>
      </w:pPr>
    </w:lvl>
    <w:lvl w:ilvl="2">
      <w:start w:val="1"/>
      <w:numFmt w:val="decimal"/>
      <w:lvlText w:val="%1.%2.%3"/>
      <w:legacy w:legacy="1" w:legacySpace="0" w:legacyIndent="737"/>
      <w:lvlJc w:val="left"/>
      <w:pPr>
        <w:ind w:left="2160" w:hanging="737"/>
      </w:pPr>
    </w:lvl>
    <w:lvl w:ilvl="3">
      <w:start w:val="1"/>
      <w:numFmt w:val="decimal"/>
      <w:lvlText w:val="%1.%2.%3.%4"/>
      <w:legacy w:legacy="1" w:legacySpace="0" w:legacyIndent="737"/>
      <w:lvlJc w:val="left"/>
      <w:pPr>
        <w:ind w:left="2880" w:hanging="737"/>
      </w:pPr>
    </w:lvl>
    <w:lvl w:ilvl="4">
      <w:start w:val="1"/>
      <w:numFmt w:val="lowerLetter"/>
      <w:lvlText w:val="(%5)"/>
      <w:legacy w:legacy="1" w:legacySpace="0" w:legacyIndent="737"/>
      <w:lvlJc w:val="left"/>
      <w:pPr>
        <w:ind w:left="3600" w:hanging="737"/>
      </w:pPr>
    </w:lvl>
    <w:lvl w:ilvl="5">
      <w:start w:val="1"/>
      <w:numFmt w:val="lowerRoman"/>
      <w:lvlText w:val="(%6)"/>
      <w:legacy w:legacy="1" w:legacySpace="0" w:legacyIndent="737"/>
      <w:lvlJc w:val="left"/>
      <w:pPr>
        <w:ind w:left="4320" w:hanging="737"/>
      </w:pPr>
    </w:lvl>
    <w:lvl w:ilvl="6">
      <w:start w:val="1"/>
      <w:numFmt w:val="decimal"/>
      <w:lvlText w:val="(%7)"/>
      <w:legacy w:legacy="1" w:legacySpace="0" w:legacyIndent="737"/>
      <w:lvlJc w:val="left"/>
      <w:pPr>
        <w:ind w:left="5040" w:hanging="737"/>
      </w:pPr>
    </w:lvl>
    <w:lvl w:ilvl="7">
      <w:start w:val="1"/>
      <w:numFmt w:val="none"/>
      <w:suff w:val="nothing"/>
      <w:lvlText w:val=""/>
      <w:lvlJc w:val="left"/>
      <w:pPr>
        <w:ind w:left="0" w:hanging="720"/>
      </w:pPr>
    </w:lvl>
    <w:lvl w:ilvl="8">
      <w:start w:val="1"/>
      <w:numFmt w:val="none"/>
      <w:suff w:val="nothing"/>
      <w:lvlText w:val=""/>
      <w:lvlJc w:val="left"/>
      <w:pPr>
        <w:ind w:left="0" w:hanging="720"/>
      </w:pPr>
    </w:lvl>
  </w:abstractNum>
  <w:abstractNum w:abstractNumId="1" w15:restartNumberingAfterBreak="0">
    <w:nsid w:val="11257ADE"/>
    <w:multiLevelType w:val="hybridMultilevel"/>
    <w:tmpl w:val="2A42AF56"/>
    <w:lvl w:ilvl="0" w:tplc="08090001">
      <w:start w:val="1"/>
      <w:numFmt w:val="bullet"/>
      <w:lvlText w:val=""/>
      <w:lvlJc w:val="left"/>
      <w:pPr>
        <w:ind w:left="1944" w:hanging="360"/>
      </w:pPr>
      <w:rPr>
        <w:rFonts w:ascii="Symbol" w:hAnsi="Symbol" w:hint="default"/>
      </w:rPr>
    </w:lvl>
    <w:lvl w:ilvl="1" w:tplc="08090003">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2" w15:restartNumberingAfterBreak="0">
    <w:nsid w:val="218B12D6"/>
    <w:multiLevelType w:val="multilevel"/>
    <w:tmpl w:val="BABE87C8"/>
    <w:lvl w:ilvl="0">
      <w:start w:val="1"/>
      <w:numFmt w:val="bullet"/>
      <w:lvlText w:val="●"/>
      <w:lvlJc w:val="left"/>
      <w:pPr>
        <w:ind w:left="0" w:firstLine="0"/>
      </w:pPr>
      <w:rPr>
        <w:rFonts w:ascii="Noto Sans Symbols" w:eastAsia="Noto Sans Symbols" w:hAnsi="Noto Sans Symbols" w:cs="Noto Sans Symbols"/>
        <w:color w:val="000000"/>
        <w:sz w:val="24"/>
        <w:szCs w:val="24"/>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15:restartNumberingAfterBreak="0">
    <w:nsid w:val="396C3226"/>
    <w:multiLevelType w:val="multilevel"/>
    <w:tmpl w:val="1AF804CE"/>
    <w:lvl w:ilvl="0">
      <w:start w:val="1"/>
      <w:numFmt w:val="bullet"/>
      <w:lvlText w:val="●"/>
      <w:lvlJc w:val="left"/>
      <w:pPr>
        <w:ind w:left="1457" w:hanging="720"/>
      </w:pPr>
      <w:rPr>
        <w:rFonts w:ascii="Noto Sans Symbols" w:eastAsia="Noto Sans Symbols" w:hAnsi="Noto Sans Symbols" w:cs="Noto Sans Symbols"/>
        <w:color w:val="000000"/>
      </w:r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4" w15:restartNumberingAfterBreak="0">
    <w:nsid w:val="3EA44DAB"/>
    <w:multiLevelType w:val="multilevel"/>
    <w:tmpl w:val="66BCBC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6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2086FD5"/>
    <w:multiLevelType w:val="multilevel"/>
    <w:tmpl w:val="261C746A"/>
    <w:lvl w:ilvl="0">
      <w:start w:val="1"/>
      <w:numFmt w:val="bullet"/>
      <w:lvlText w:val="●"/>
      <w:lvlJc w:val="left"/>
      <w:pPr>
        <w:ind w:left="1152" w:hanging="360"/>
      </w:pPr>
      <w:rPr>
        <w:rFonts w:ascii="Noto Sans Symbols" w:eastAsia="Noto Sans Symbols" w:hAnsi="Noto Sans Symbols" w:cs="Noto Sans Symbols"/>
      </w:rPr>
    </w:lvl>
    <w:lvl w:ilvl="1">
      <w:start w:val="1"/>
      <w:numFmt w:val="bullet"/>
      <w:lvlText w:val="o"/>
      <w:lvlJc w:val="left"/>
      <w:pPr>
        <w:ind w:left="1872" w:hanging="360"/>
      </w:pPr>
      <w:rPr>
        <w:rFonts w:ascii="Courier New" w:eastAsia="Courier New" w:hAnsi="Courier New" w:cs="Courier New"/>
      </w:rPr>
    </w:lvl>
    <w:lvl w:ilvl="2">
      <w:start w:val="1"/>
      <w:numFmt w:val="bullet"/>
      <w:lvlText w:val="▪"/>
      <w:lvlJc w:val="left"/>
      <w:pPr>
        <w:ind w:left="2592" w:hanging="360"/>
      </w:pPr>
      <w:rPr>
        <w:rFonts w:ascii="Noto Sans Symbols" w:eastAsia="Noto Sans Symbols" w:hAnsi="Noto Sans Symbols" w:cs="Noto Sans Symbols"/>
      </w:rPr>
    </w:lvl>
    <w:lvl w:ilvl="3">
      <w:start w:val="1"/>
      <w:numFmt w:val="bullet"/>
      <w:lvlText w:val="●"/>
      <w:lvlJc w:val="left"/>
      <w:pPr>
        <w:ind w:left="3312" w:hanging="360"/>
      </w:pPr>
      <w:rPr>
        <w:rFonts w:ascii="Noto Sans Symbols" w:eastAsia="Noto Sans Symbols" w:hAnsi="Noto Sans Symbols" w:cs="Noto Sans Symbols"/>
      </w:rPr>
    </w:lvl>
    <w:lvl w:ilvl="4">
      <w:start w:val="1"/>
      <w:numFmt w:val="bullet"/>
      <w:lvlText w:val="o"/>
      <w:lvlJc w:val="left"/>
      <w:pPr>
        <w:ind w:left="4032" w:hanging="360"/>
      </w:pPr>
      <w:rPr>
        <w:rFonts w:ascii="Courier New" w:eastAsia="Courier New" w:hAnsi="Courier New" w:cs="Courier New"/>
      </w:rPr>
    </w:lvl>
    <w:lvl w:ilvl="5">
      <w:start w:val="1"/>
      <w:numFmt w:val="bullet"/>
      <w:lvlText w:val="▪"/>
      <w:lvlJc w:val="left"/>
      <w:pPr>
        <w:ind w:left="4752" w:hanging="360"/>
      </w:pPr>
      <w:rPr>
        <w:rFonts w:ascii="Noto Sans Symbols" w:eastAsia="Noto Sans Symbols" w:hAnsi="Noto Sans Symbols" w:cs="Noto Sans Symbols"/>
      </w:rPr>
    </w:lvl>
    <w:lvl w:ilvl="6">
      <w:start w:val="1"/>
      <w:numFmt w:val="bullet"/>
      <w:lvlText w:val="●"/>
      <w:lvlJc w:val="left"/>
      <w:pPr>
        <w:ind w:left="5472" w:hanging="360"/>
      </w:pPr>
      <w:rPr>
        <w:rFonts w:ascii="Noto Sans Symbols" w:eastAsia="Noto Sans Symbols" w:hAnsi="Noto Sans Symbols" w:cs="Noto Sans Symbols"/>
      </w:rPr>
    </w:lvl>
    <w:lvl w:ilvl="7">
      <w:start w:val="1"/>
      <w:numFmt w:val="bullet"/>
      <w:lvlText w:val="o"/>
      <w:lvlJc w:val="left"/>
      <w:pPr>
        <w:ind w:left="6192" w:hanging="360"/>
      </w:pPr>
      <w:rPr>
        <w:rFonts w:ascii="Courier New" w:eastAsia="Courier New" w:hAnsi="Courier New" w:cs="Courier New"/>
      </w:rPr>
    </w:lvl>
    <w:lvl w:ilvl="8">
      <w:start w:val="1"/>
      <w:numFmt w:val="bullet"/>
      <w:lvlText w:val="▪"/>
      <w:lvlJc w:val="left"/>
      <w:pPr>
        <w:ind w:left="6912" w:hanging="360"/>
      </w:pPr>
      <w:rPr>
        <w:rFonts w:ascii="Noto Sans Symbols" w:eastAsia="Noto Sans Symbols" w:hAnsi="Noto Sans Symbols" w:cs="Noto Sans Symbols"/>
      </w:rPr>
    </w:lvl>
  </w:abstractNum>
  <w:abstractNum w:abstractNumId="6" w15:restartNumberingAfterBreak="0">
    <w:nsid w:val="5DB955FC"/>
    <w:multiLevelType w:val="multilevel"/>
    <w:tmpl w:val="D590A69A"/>
    <w:lvl w:ilvl="0">
      <w:start w:val="1"/>
      <w:numFmt w:val="bullet"/>
      <w:lvlText w:val="●"/>
      <w:lvlJc w:val="left"/>
      <w:pPr>
        <w:ind w:left="1264" w:hanging="360"/>
      </w:pPr>
      <w:rPr>
        <w:rFonts w:ascii="Noto Sans Symbols" w:eastAsia="Noto Sans Symbols" w:hAnsi="Noto Sans Symbols" w:cs="Noto Sans Symbols"/>
      </w:rPr>
    </w:lvl>
    <w:lvl w:ilvl="1">
      <w:start w:val="1"/>
      <w:numFmt w:val="bullet"/>
      <w:lvlText w:val="o"/>
      <w:lvlJc w:val="left"/>
      <w:pPr>
        <w:ind w:left="1984" w:hanging="360"/>
      </w:pPr>
      <w:rPr>
        <w:rFonts w:ascii="Courier New" w:eastAsia="Courier New" w:hAnsi="Courier New" w:cs="Courier New"/>
      </w:rPr>
    </w:lvl>
    <w:lvl w:ilvl="2">
      <w:start w:val="1"/>
      <w:numFmt w:val="bullet"/>
      <w:lvlText w:val="▪"/>
      <w:lvlJc w:val="left"/>
      <w:pPr>
        <w:ind w:left="2704" w:hanging="360"/>
      </w:pPr>
      <w:rPr>
        <w:rFonts w:ascii="Noto Sans Symbols" w:eastAsia="Noto Sans Symbols" w:hAnsi="Noto Sans Symbols" w:cs="Noto Sans Symbols"/>
      </w:rPr>
    </w:lvl>
    <w:lvl w:ilvl="3">
      <w:start w:val="1"/>
      <w:numFmt w:val="bullet"/>
      <w:lvlText w:val="●"/>
      <w:lvlJc w:val="left"/>
      <w:pPr>
        <w:ind w:left="3424" w:hanging="360"/>
      </w:pPr>
      <w:rPr>
        <w:rFonts w:ascii="Noto Sans Symbols" w:eastAsia="Noto Sans Symbols" w:hAnsi="Noto Sans Symbols" w:cs="Noto Sans Symbols"/>
      </w:rPr>
    </w:lvl>
    <w:lvl w:ilvl="4">
      <w:start w:val="1"/>
      <w:numFmt w:val="bullet"/>
      <w:lvlText w:val="o"/>
      <w:lvlJc w:val="left"/>
      <w:pPr>
        <w:ind w:left="4144" w:hanging="360"/>
      </w:pPr>
      <w:rPr>
        <w:rFonts w:ascii="Courier New" w:eastAsia="Courier New" w:hAnsi="Courier New" w:cs="Courier New"/>
      </w:rPr>
    </w:lvl>
    <w:lvl w:ilvl="5">
      <w:start w:val="1"/>
      <w:numFmt w:val="bullet"/>
      <w:lvlText w:val="▪"/>
      <w:lvlJc w:val="left"/>
      <w:pPr>
        <w:ind w:left="4864" w:hanging="360"/>
      </w:pPr>
      <w:rPr>
        <w:rFonts w:ascii="Noto Sans Symbols" w:eastAsia="Noto Sans Symbols" w:hAnsi="Noto Sans Symbols" w:cs="Noto Sans Symbols"/>
      </w:rPr>
    </w:lvl>
    <w:lvl w:ilvl="6">
      <w:start w:val="1"/>
      <w:numFmt w:val="bullet"/>
      <w:lvlText w:val="●"/>
      <w:lvlJc w:val="left"/>
      <w:pPr>
        <w:ind w:left="5584" w:hanging="360"/>
      </w:pPr>
      <w:rPr>
        <w:rFonts w:ascii="Noto Sans Symbols" w:eastAsia="Noto Sans Symbols" w:hAnsi="Noto Sans Symbols" w:cs="Noto Sans Symbols"/>
      </w:rPr>
    </w:lvl>
    <w:lvl w:ilvl="7">
      <w:start w:val="1"/>
      <w:numFmt w:val="bullet"/>
      <w:lvlText w:val="o"/>
      <w:lvlJc w:val="left"/>
      <w:pPr>
        <w:ind w:left="6304" w:hanging="360"/>
      </w:pPr>
      <w:rPr>
        <w:rFonts w:ascii="Courier New" w:eastAsia="Courier New" w:hAnsi="Courier New" w:cs="Courier New"/>
      </w:rPr>
    </w:lvl>
    <w:lvl w:ilvl="8">
      <w:start w:val="1"/>
      <w:numFmt w:val="bullet"/>
      <w:lvlText w:val="▪"/>
      <w:lvlJc w:val="left"/>
      <w:pPr>
        <w:ind w:left="7024" w:hanging="360"/>
      </w:pPr>
      <w:rPr>
        <w:rFonts w:ascii="Noto Sans Symbols" w:eastAsia="Noto Sans Symbols" w:hAnsi="Noto Sans Symbols" w:cs="Noto Sans Symbols"/>
      </w:rPr>
    </w:lvl>
  </w:abstractNum>
  <w:abstractNum w:abstractNumId="7" w15:restartNumberingAfterBreak="0">
    <w:nsid w:val="70FA6B5C"/>
    <w:multiLevelType w:val="multilevel"/>
    <w:tmpl w:val="ED021A1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5"/>
  </w:num>
  <w:num w:numId="3">
    <w:abstractNumId w:val="3"/>
  </w:num>
  <w:num w:numId="4">
    <w:abstractNumId w:val="6"/>
  </w:num>
  <w:num w:numId="5">
    <w:abstractNumId w:val="7"/>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6C3CE9"/>
    <w:rsid w:val="00057269"/>
    <w:rsid w:val="000E5854"/>
    <w:rsid w:val="00214076"/>
    <w:rsid w:val="0038571A"/>
    <w:rsid w:val="005A4AE5"/>
    <w:rsid w:val="005D25EB"/>
    <w:rsid w:val="0065275D"/>
    <w:rsid w:val="006C3CE9"/>
    <w:rsid w:val="00772AD6"/>
    <w:rsid w:val="007E0CE7"/>
    <w:rsid w:val="0084060B"/>
    <w:rsid w:val="008850BA"/>
    <w:rsid w:val="008C6238"/>
    <w:rsid w:val="009E54E0"/>
    <w:rsid w:val="00A90D86"/>
    <w:rsid w:val="00BC298E"/>
    <w:rsid w:val="00CC1D24"/>
    <w:rsid w:val="00CE620E"/>
    <w:rsid w:val="00D47F48"/>
    <w:rsid w:val="00DF3C2E"/>
    <w:rsid w:val="00E27C94"/>
    <w:rsid w:val="00E43C84"/>
    <w:rsid w:val="00E76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7F1290"/>
  <w15:docId w15:val="{F57B568F-B15D-4980-BAC3-A0364D95A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qFormat/>
    <w:pPr>
      <w:keepNext/>
      <w:keepLines/>
      <w:spacing w:before="240"/>
      <w:outlineLvl w:val="0"/>
    </w:pPr>
    <w:rPr>
      <w:rFonts w:ascii="Cambria" w:eastAsia="Cambria" w:hAnsi="Cambria" w:cs="Cambria"/>
      <w:color w:val="366091"/>
      <w:sz w:val="32"/>
      <w:szCs w:val="32"/>
    </w:rPr>
  </w:style>
  <w:style w:type="paragraph" w:styleId="Heading2">
    <w:name w:val="heading 2"/>
    <w:basedOn w:val="Normal1"/>
    <w:next w:val="Normal1"/>
    <w:uiPriority w:val="9"/>
    <w:qFormat/>
    <w:pPr>
      <w:keepNext/>
      <w:keepLines/>
      <w:spacing w:before="40"/>
      <w:outlineLvl w:val="1"/>
    </w:pPr>
    <w:rPr>
      <w:rFonts w:ascii="Cambria" w:eastAsia="Cambria" w:hAnsi="Cambria" w:cs="Cambria"/>
      <w:color w:val="366091"/>
      <w:sz w:val="26"/>
      <w:szCs w:val="26"/>
    </w:rPr>
  </w:style>
  <w:style w:type="paragraph" w:styleId="Heading3">
    <w:name w:val="heading 3"/>
    <w:basedOn w:val="Normal1"/>
    <w:next w:val="Normal1"/>
    <w:qFormat/>
    <w:pPr>
      <w:keepNext/>
      <w:keepLines/>
      <w:spacing w:before="40"/>
      <w:outlineLvl w:val="2"/>
    </w:pPr>
    <w:rPr>
      <w:rFonts w:ascii="Cambria" w:eastAsia="Cambria" w:hAnsi="Cambria" w:cs="Cambria"/>
      <w:color w:val="243F61"/>
      <w:sz w:val="24"/>
      <w:szCs w:val="24"/>
    </w:rPr>
  </w:style>
  <w:style w:type="paragraph" w:styleId="Heading4">
    <w:name w:val="heading 4"/>
    <w:basedOn w:val="Normal1"/>
    <w:next w:val="Normal1"/>
    <w:qFormat/>
    <w:pPr>
      <w:keepNext/>
      <w:keepLines/>
      <w:spacing w:before="40"/>
      <w:outlineLvl w:val="3"/>
    </w:pPr>
    <w:rPr>
      <w:rFonts w:ascii="Cambria" w:eastAsia="Cambria" w:hAnsi="Cambria" w:cs="Cambria"/>
      <w:i/>
      <w:color w:val="366091"/>
    </w:rPr>
  </w:style>
  <w:style w:type="paragraph" w:styleId="Heading5">
    <w:name w:val="heading 5"/>
    <w:basedOn w:val="Normal1"/>
    <w:next w:val="Normal1"/>
    <w:qFormat/>
    <w:pPr>
      <w:keepNext/>
      <w:keepLines/>
      <w:spacing w:before="220" w:after="40"/>
      <w:outlineLvl w:val="4"/>
    </w:pPr>
    <w:rPr>
      <w:b/>
    </w:rPr>
  </w:style>
  <w:style w:type="paragraph" w:styleId="Heading6">
    <w:name w:val="heading 6"/>
    <w:basedOn w:val="Normal1"/>
    <w:next w:val="Normal1"/>
    <w:qFormat/>
    <w:pPr>
      <w:keepNext/>
      <w:keepLines/>
      <w:spacing w:before="200" w:after="40"/>
      <w:outlineLvl w:val="5"/>
    </w:pPr>
    <w:rPr>
      <w:b/>
      <w:sz w:val="20"/>
      <w:szCs w:val="20"/>
    </w:rPr>
  </w:style>
  <w:style w:type="paragraph" w:styleId="Heading7">
    <w:name w:val="heading 7"/>
    <w:basedOn w:val="Heading6"/>
    <w:link w:val="Heading7Char"/>
    <w:qFormat/>
    <w:pPr>
      <w:keepNext w:val="0"/>
      <w:keepLines w:val="0"/>
      <w:widowControl w:val="0"/>
      <w:overflowPunct w:val="0"/>
      <w:autoSpaceDE w:val="0"/>
      <w:autoSpaceDN w:val="0"/>
      <w:adjustRightInd w:val="0"/>
      <w:spacing w:before="0" w:after="240" w:line="360" w:lineRule="auto"/>
      <w:ind w:left="5040" w:hanging="737"/>
      <w:jc w:val="both"/>
      <w:textAlignment w:val="baseline"/>
      <w:outlineLvl w:val="6"/>
    </w:pPr>
    <w:rPr>
      <w:b w:val="0"/>
      <w:sz w:val="22"/>
      <w:lang w:val="en-GB"/>
    </w:rPr>
  </w:style>
  <w:style w:type="paragraph" w:styleId="Heading8">
    <w:name w:val="heading 8"/>
    <w:basedOn w:val="Normal"/>
    <w:next w:val="Normal"/>
    <w:link w:val="Heading8Char"/>
    <w:qFormat/>
    <w:pPr>
      <w:keepNext/>
      <w:widowControl w:val="0"/>
      <w:overflowPunct w:val="0"/>
      <w:autoSpaceDE w:val="0"/>
      <w:autoSpaceDN w:val="0"/>
      <w:adjustRightInd w:val="0"/>
      <w:spacing w:after="240" w:line="360" w:lineRule="auto"/>
      <w:ind w:hanging="720"/>
      <w:jc w:val="center"/>
      <w:textAlignment w:val="baseline"/>
      <w:outlineLvl w:val="7"/>
    </w:pPr>
    <w:rPr>
      <w:b/>
      <w:caps/>
      <w:szCs w:val="20"/>
      <w:lang w:val="en-GB"/>
    </w:rPr>
  </w:style>
  <w:style w:type="paragraph" w:styleId="Heading9">
    <w:name w:val="heading 9"/>
    <w:basedOn w:val="Heading8"/>
    <w:next w:val="Normal"/>
    <w:link w:val="Heading9Char"/>
    <w:qFormat/>
    <w:p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Subtitle">
    <w:name w:val="Subtitle"/>
    <w:basedOn w:val="Normal1"/>
    <w:next w:val="Normal1"/>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color w:val="000000"/>
    </w:rPr>
    <w:tblPr>
      <w:tblStyleRowBandSize w:val="1"/>
      <w:tblStyleColBandSize w:val="1"/>
    </w:tblPr>
  </w:style>
  <w:style w:type="table" w:customStyle="1" w:styleId="a0">
    <w:basedOn w:val="TableNormal"/>
    <w:rPr>
      <w:rFonts w:ascii="Calibri" w:eastAsia="Calibri" w:hAnsi="Calibri" w:cs="Calibri"/>
      <w:color w:val="000000"/>
    </w:rPr>
    <w:tblPr>
      <w:tblStyleRowBandSize w:val="1"/>
      <w:tblStyleColBandSize w:val="1"/>
    </w:tblPr>
  </w:style>
  <w:style w:type="table" w:customStyle="1" w:styleId="a1">
    <w:basedOn w:val="TableNormal"/>
    <w:rPr>
      <w:rFonts w:ascii="Calibri" w:eastAsia="Calibri" w:hAnsi="Calibri" w:cs="Calibri"/>
      <w:color w:val="000000"/>
    </w:rPr>
    <w:tblPr>
      <w:tblStyleRowBandSize w:val="1"/>
      <w:tblStyleColBandSize w:val="1"/>
    </w:tblPr>
  </w:style>
  <w:style w:type="table" w:customStyle="1" w:styleId="a2">
    <w:basedOn w:val="TableNormal"/>
    <w:rPr>
      <w:rFonts w:ascii="Calibri" w:eastAsia="Calibri" w:hAnsi="Calibri" w:cs="Calibri"/>
      <w:color w:val="000000"/>
    </w:rPr>
    <w:tblPr>
      <w:tblStyleRowBandSize w:val="1"/>
      <w:tblStyleColBandSize w:val="1"/>
    </w:tblPr>
  </w:style>
  <w:style w:type="paragraph" w:styleId="CommentText">
    <w:name w:val="annotation text"/>
    <w:basedOn w:val="Normal"/>
    <w:link w:val="CommentTextChar"/>
    <w:uiPriority w:val="99"/>
    <w:semiHidden/>
    <w:unhideWhenUsed/>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unhideWhenUsed/>
    <w:rPr>
      <w:sz w:val="18"/>
      <w:szCs w:val="18"/>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320"/>
        <w:tab w:val="right" w:pos="8640"/>
      </w:tabs>
    </w:pPr>
  </w:style>
  <w:style w:type="character" w:customStyle="1" w:styleId="FooterChar">
    <w:name w:val="Footer Char"/>
    <w:basedOn w:val="DefaultParagraphFont"/>
    <w:link w:val="Footer"/>
    <w:uiPriority w:val="99"/>
  </w:style>
  <w:style w:type="table" w:styleId="TableGrid">
    <w:name w:val="Table Grid"/>
    <w:basedOn w:val="TableNormal"/>
    <w:uiPriority w:val="59"/>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Pr>
      <w:szCs w:val="20"/>
      <w:lang w:val="en-GB"/>
    </w:rPr>
  </w:style>
  <w:style w:type="character" w:customStyle="1" w:styleId="Heading8Char">
    <w:name w:val="Heading 8 Char"/>
    <w:basedOn w:val="DefaultParagraphFont"/>
    <w:link w:val="Heading8"/>
    <w:rPr>
      <w:b/>
      <w:caps/>
      <w:szCs w:val="20"/>
      <w:lang w:val="en-GB"/>
    </w:rPr>
  </w:style>
  <w:style w:type="character" w:customStyle="1" w:styleId="Heading9Char">
    <w:name w:val="Heading 9 Char"/>
    <w:basedOn w:val="DefaultParagraphFont"/>
    <w:link w:val="Heading9"/>
    <w:rPr>
      <w:b/>
      <w:szCs w:val="20"/>
      <w:lang w:val="en-GB"/>
    </w:rPr>
  </w:style>
  <w:style w:type="paragraph" w:styleId="ListParagraph">
    <w:name w:val="List Paragraph"/>
    <w:aliases w:val="Dot pt,No Spacing1,List Paragraph Char Char Char,Indicator Text,List Paragraph1,Numbered Para 1,Bullet 1,Bullet Points,List Paragraph12"/>
    <w:basedOn w:val="Normal"/>
    <w:link w:val="ListParagraphChar"/>
    <w:uiPriority w:val="34"/>
    <w:qFormat/>
    <w:pPr>
      <w:spacing w:before="120" w:after="160" w:line="360" w:lineRule="auto"/>
      <w:ind w:left="720"/>
      <w:contextualSpacing/>
      <w:jc w:val="both"/>
    </w:pPr>
    <w:rPr>
      <w:rFonts w:ascii="Arial" w:eastAsia="Calibri" w:hAnsi="Arial"/>
      <w:lang w:val="en-GB"/>
    </w:rPr>
  </w:style>
  <w:style w:type="character" w:customStyle="1" w:styleId="ListParagraphChar">
    <w:name w:val="List Paragraph Char"/>
    <w:aliases w:val="Dot pt Char,No Spacing1 Char,List Paragraph Char Char Char Char,Indicator Text Char,List Paragraph1 Char,Numbered Para 1 Char,Bullet 1 Char,Bullet Points Char,List Paragraph12 Char"/>
    <w:basedOn w:val="DefaultParagraphFont"/>
    <w:link w:val="ListParagraph"/>
    <w:uiPriority w:val="34"/>
    <w:qFormat/>
    <w:locked/>
    <w:rPr>
      <w:rFonts w:ascii="Arial" w:eastAsia="Calibri" w:hAnsi="Arial"/>
      <w:lang w:val="en-GB"/>
    </w:rPr>
  </w:style>
  <w:style w:type="paragraph" w:styleId="TOC3">
    <w:name w:val="toc 3"/>
    <w:basedOn w:val="Normal"/>
    <w:next w:val="Normal"/>
    <w:autoRedefine/>
    <w:uiPriority w:val="39"/>
    <w:unhideWhenUsed/>
    <w:rsid w:val="0038571A"/>
    <w:pPr>
      <w:spacing w:after="100"/>
      <w:ind w:left="440"/>
    </w:pPr>
  </w:style>
  <w:style w:type="paragraph" w:styleId="TOC4">
    <w:name w:val="toc 4"/>
    <w:basedOn w:val="Normal"/>
    <w:next w:val="Normal"/>
    <w:autoRedefine/>
    <w:uiPriority w:val="39"/>
    <w:unhideWhenUsed/>
    <w:rsid w:val="0038571A"/>
    <w:pPr>
      <w:spacing w:after="100"/>
      <w:ind w:left="660"/>
    </w:pPr>
  </w:style>
  <w:style w:type="character" w:styleId="Hyperlink">
    <w:name w:val="Hyperlink"/>
    <w:basedOn w:val="DefaultParagraphFont"/>
    <w:uiPriority w:val="99"/>
    <w:unhideWhenUsed/>
    <w:rsid w:val="003857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180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model-services-contract" TargetMode="External"/><Relationship Id="rId5" Type="http://schemas.openxmlformats.org/officeDocument/2006/relationships/webSettings" Target="webSettings.xml"/><Relationship Id="rId10" Type="http://schemas.openxmlformats.org/officeDocument/2006/relationships/hyperlink" Target="http://www.gov.uk/government/organisations/cabinet-office"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02147-936A-4EE5-82C8-9AB02BC39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19</Pages>
  <Words>5987</Words>
  <Characters>34126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40033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Spencer, Suz</dc:creator>
  <cp:lastModifiedBy>Janine Cato</cp:lastModifiedBy>
  <cp:revision>9</cp:revision>
  <dcterms:created xsi:type="dcterms:W3CDTF">2018-12-19T19:10:00Z</dcterms:created>
  <dcterms:modified xsi:type="dcterms:W3CDTF">2018-12-21T08:30:00Z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d7422efd-1b52-43b9-ac32-cb130adb5ac7</vt:lpwstr>
  </property>
</Properties>
</file>